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AB6" w:rsidRPr="007C4AB6" w:rsidRDefault="007C4AB6" w:rsidP="007C4AB6">
      <w:pPr>
        <w:pStyle w:val="ListParagraph"/>
        <w:numPr>
          <w:ilvl w:val="0"/>
          <w:numId w:val="1"/>
        </w:numPr>
        <w:pBdr>
          <w:top w:val="nil"/>
          <w:left w:val="nil"/>
          <w:bottom w:val="nil"/>
          <w:right w:val="nil"/>
          <w:between w:val="nil"/>
        </w:pBdr>
        <w:ind w:left="426" w:hanging="426"/>
        <w:jc w:val="both"/>
        <w:rPr>
          <w:rFonts w:ascii="Times New Roman" w:eastAsia="Times New Roman" w:hAnsi="Times New Roman" w:cs="Times New Roman"/>
          <w:b/>
          <w:color w:val="000000"/>
          <w:sz w:val="22"/>
          <w:szCs w:val="22"/>
        </w:rPr>
      </w:pPr>
      <w:r w:rsidRPr="007C4AB6">
        <w:rPr>
          <w:rFonts w:ascii="Times New Roman" w:eastAsia="Times New Roman" w:hAnsi="Times New Roman" w:cs="Times New Roman"/>
          <w:b/>
          <w:color w:val="000000"/>
          <w:sz w:val="22"/>
          <w:szCs w:val="22"/>
        </w:rPr>
        <w:t>Methods</w:t>
      </w:r>
      <w:r w:rsidRPr="007C4AB6">
        <w:rPr>
          <w:rFonts w:ascii="Times New Roman" w:eastAsia="Times New Roman" w:hAnsi="Times New Roman" w:cs="Times New Roman"/>
          <w:b/>
          <w:color w:val="000000"/>
          <w:sz w:val="22"/>
          <w:szCs w:val="22"/>
        </w:rPr>
        <w:t xml:space="preserve"> of Research </w:t>
      </w:r>
    </w:p>
    <w:p w:rsidR="007C4AB6" w:rsidRPr="007C4AB6" w:rsidRDefault="007C4AB6" w:rsidP="007C4AB6">
      <w:pPr>
        <w:pBdr>
          <w:top w:val="nil"/>
          <w:left w:val="nil"/>
          <w:bottom w:val="nil"/>
          <w:right w:val="nil"/>
          <w:between w:val="nil"/>
        </w:pBdr>
        <w:ind w:firstLine="720"/>
        <w:jc w:val="both"/>
        <w:rPr>
          <w:rFonts w:ascii="Times New Roman" w:eastAsia="Times New Roman" w:hAnsi="Times New Roman" w:cs="Times New Roman"/>
          <w:b/>
          <w:color w:val="000000"/>
          <w:sz w:val="22"/>
          <w:szCs w:val="22"/>
        </w:rPr>
      </w:pPr>
      <w:r w:rsidRPr="007C4AB6">
        <w:rPr>
          <w:rFonts w:ascii="Times New Roman" w:eastAsia="Times New Roman" w:hAnsi="Times New Roman" w:cs="Times New Roman"/>
          <w:sz w:val="22"/>
          <w:szCs w:val="22"/>
        </w:rPr>
        <w:t>T</w:t>
      </w:r>
      <w:r w:rsidRPr="007C4AB6">
        <w:rPr>
          <w:rFonts w:ascii="Times New Roman" w:hAnsi="Times New Roman" w:cs="Times New Roman"/>
          <w:sz w:val="22"/>
          <w:szCs w:val="22"/>
        </w:rPr>
        <w:t xml:space="preserve">his research uses normative legal research methods. This method conducts legal research by examining existing library materials. This paper will also be discussed based on legal theories. Thus, these assumptions will also be tested and linked based on legal theories. The data used are secondary data and analyzed based on a statutory approach. The data includes the literature, including those available online. Also, this study uses legal material, including Indonesian law related to the Electric Vehicle, books, articles/journals, seminar papers, </w:t>
      </w:r>
      <w:proofErr w:type="gramStart"/>
      <w:r w:rsidRPr="007C4AB6">
        <w:rPr>
          <w:rFonts w:ascii="Times New Roman" w:hAnsi="Times New Roman" w:cs="Times New Roman"/>
          <w:sz w:val="22"/>
          <w:szCs w:val="22"/>
        </w:rPr>
        <w:t>dictionary</w:t>
      </w:r>
      <w:proofErr w:type="gramEnd"/>
      <w:r w:rsidRPr="007C4AB6">
        <w:rPr>
          <w:rFonts w:ascii="Times New Roman" w:hAnsi="Times New Roman" w:cs="Times New Roman"/>
          <w:sz w:val="22"/>
          <w:szCs w:val="22"/>
        </w:rPr>
        <w:t xml:space="preserve">. The data is then presented descriptively and systematically in this paper. </w:t>
      </w:r>
    </w:p>
    <w:p w:rsidR="008C147A" w:rsidRPr="007C4AB6" w:rsidRDefault="008C147A" w:rsidP="007C4AB6">
      <w:pPr>
        <w:jc w:val="both"/>
        <w:rPr>
          <w:rFonts w:ascii="Times New Roman" w:hAnsi="Times New Roman" w:cs="Times New Roman"/>
          <w:sz w:val="22"/>
          <w:szCs w:val="22"/>
        </w:rPr>
      </w:pPr>
    </w:p>
    <w:p w:rsidR="007C4AB6" w:rsidRDefault="007C4AB6" w:rsidP="007C4AB6">
      <w:pPr>
        <w:pStyle w:val="ListParagraph"/>
        <w:numPr>
          <w:ilvl w:val="0"/>
          <w:numId w:val="1"/>
        </w:numPr>
        <w:pBdr>
          <w:top w:val="nil"/>
          <w:left w:val="nil"/>
          <w:bottom w:val="nil"/>
          <w:right w:val="nil"/>
          <w:between w:val="nil"/>
        </w:pBdr>
        <w:ind w:left="426" w:hanging="426"/>
        <w:jc w:val="both"/>
        <w:rPr>
          <w:rFonts w:ascii="Times New Roman" w:hAnsi="Times New Roman" w:cs="Times New Roman"/>
          <w:b/>
          <w:sz w:val="22"/>
          <w:szCs w:val="22"/>
        </w:rPr>
      </w:pPr>
      <w:r w:rsidRPr="007C4AB6">
        <w:rPr>
          <w:rFonts w:ascii="Times New Roman" w:hAnsi="Times New Roman" w:cs="Times New Roman"/>
          <w:b/>
          <w:sz w:val="22"/>
          <w:szCs w:val="22"/>
        </w:rPr>
        <w:t xml:space="preserve">Figures and Tables </w:t>
      </w:r>
    </w:p>
    <w:p w:rsidR="007C4AB6" w:rsidRDefault="007C4AB6" w:rsidP="007C4AB6">
      <w:pPr>
        <w:pStyle w:val="ListParagraph"/>
        <w:pBdr>
          <w:top w:val="nil"/>
          <w:left w:val="nil"/>
          <w:bottom w:val="nil"/>
          <w:right w:val="nil"/>
          <w:between w:val="nil"/>
        </w:pBdr>
        <w:ind w:left="426"/>
        <w:jc w:val="both"/>
        <w:rPr>
          <w:rFonts w:ascii="Times New Roman" w:hAnsi="Times New Roman" w:cs="Times New Roman"/>
          <w:b/>
          <w:sz w:val="22"/>
          <w:szCs w:val="22"/>
        </w:rPr>
      </w:pPr>
    </w:p>
    <w:p w:rsidR="007C4AB6" w:rsidRDefault="007C4AB6" w:rsidP="007C4AB6">
      <w:pPr>
        <w:pStyle w:val="ListParagraph"/>
        <w:pBdr>
          <w:top w:val="nil"/>
          <w:left w:val="nil"/>
          <w:bottom w:val="nil"/>
          <w:right w:val="nil"/>
          <w:between w:val="nil"/>
        </w:pBdr>
        <w:ind w:left="426"/>
        <w:jc w:val="both"/>
        <w:rPr>
          <w:rFonts w:ascii="Times New Roman" w:hAnsi="Times New Roman" w:cs="Times New Roman"/>
          <w:b/>
          <w:sz w:val="22"/>
          <w:szCs w:val="22"/>
        </w:rPr>
      </w:pPr>
      <w:r w:rsidRPr="009419D0">
        <w:rPr>
          <w:noProof/>
          <w:sz w:val="22"/>
          <w:szCs w:val="22"/>
          <w:lang w:eastAsia="en-US"/>
        </w:rPr>
        <w:drawing>
          <wp:inline distT="0" distB="0" distL="0" distR="0" wp14:anchorId="28EE0D29" wp14:editId="4F7BA646">
            <wp:extent cx="3933825" cy="3099032"/>
            <wp:effectExtent l="0" t="25400" r="0" b="762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7C4AB6" w:rsidRDefault="007C4AB6" w:rsidP="007C4AB6">
      <w:pPr>
        <w:pStyle w:val="ListParagraph"/>
        <w:pBdr>
          <w:top w:val="nil"/>
          <w:left w:val="nil"/>
          <w:bottom w:val="nil"/>
          <w:right w:val="nil"/>
          <w:between w:val="nil"/>
        </w:pBdr>
        <w:ind w:left="426"/>
        <w:jc w:val="both"/>
        <w:rPr>
          <w:rFonts w:ascii="Times New Roman" w:hAnsi="Times New Roman" w:cs="Times New Roman"/>
          <w:b/>
          <w:sz w:val="22"/>
          <w:szCs w:val="22"/>
        </w:rPr>
      </w:pPr>
    </w:p>
    <w:p w:rsidR="007C4AB6" w:rsidRPr="009419D0" w:rsidRDefault="007C4AB6" w:rsidP="007C4AB6">
      <w:pPr>
        <w:pStyle w:val="NormalWeb"/>
        <w:spacing w:before="0" w:beforeAutospacing="0" w:after="0" w:afterAutospacing="0"/>
        <w:ind w:left="1134" w:right="804"/>
        <w:jc w:val="center"/>
        <w:rPr>
          <w:color w:val="0E101A"/>
          <w:sz w:val="22"/>
          <w:szCs w:val="22"/>
        </w:rPr>
      </w:pPr>
      <w:r w:rsidRPr="009419D0">
        <w:rPr>
          <w:color w:val="0E101A"/>
          <w:sz w:val="22"/>
          <w:szCs w:val="22"/>
        </w:rPr>
        <w:t>Figure 1: Legal Mapping of Incentives Policies</w:t>
      </w:r>
    </w:p>
    <w:p w:rsidR="007C4AB6" w:rsidRPr="009419D0" w:rsidRDefault="007C4AB6" w:rsidP="007C4AB6">
      <w:pPr>
        <w:pStyle w:val="NormalWeb"/>
        <w:spacing w:before="0" w:beforeAutospacing="0" w:after="240" w:afterAutospacing="0"/>
        <w:ind w:left="1134" w:right="804"/>
        <w:jc w:val="both"/>
        <w:rPr>
          <w:i/>
          <w:iCs/>
          <w:color w:val="0E101A"/>
          <w:sz w:val="22"/>
          <w:szCs w:val="22"/>
        </w:rPr>
      </w:pPr>
      <w:r w:rsidRPr="009419D0">
        <w:rPr>
          <w:i/>
          <w:iCs/>
          <w:color w:val="0E101A"/>
          <w:sz w:val="22"/>
          <w:szCs w:val="22"/>
        </w:rPr>
        <w:t>Source: Law Number 30 Year 2007; Government Regulation Number 79 Year 2014; Government Regulation Number 70 Year 2009; President Regulation Number 55 Year 2019.</w:t>
      </w:r>
    </w:p>
    <w:p w:rsidR="007C4AB6" w:rsidRDefault="007C4AB6" w:rsidP="007C4AB6">
      <w:pPr>
        <w:pStyle w:val="ListParagraph"/>
        <w:pBdr>
          <w:top w:val="nil"/>
          <w:left w:val="nil"/>
          <w:bottom w:val="nil"/>
          <w:right w:val="nil"/>
          <w:between w:val="nil"/>
        </w:pBdr>
        <w:ind w:left="426"/>
        <w:jc w:val="both"/>
        <w:rPr>
          <w:rFonts w:ascii="Times New Roman" w:hAnsi="Times New Roman" w:cs="Times New Roman"/>
          <w:b/>
          <w:sz w:val="22"/>
          <w:szCs w:val="22"/>
        </w:rPr>
      </w:pPr>
    </w:p>
    <w:p w:rsidR="007C4AB6" w:rsidRDefault="007C4AB6" w:rsidP="007C4AB6">
      <w:pPr>
        <w:pStyle w:val="ListParagraph"/>
        <w:pBdr>
          <w:top w:val="nil"/>
          <w:left w:val="nil"/>
          <w:bottom w:val="nil"/>
          <w:right w:val="nil"/>
          <w:between w:val="nil"/>
        </w:pBdr>
        <w:ind w:left="426"/>
        <w:jc w:val="both"/>
        <w:rPr>
          <w:rFonts w:ascii="Times New Roman" w:hAnsi="Times New Roman" w:cs="Times New Roman"/>
          <w:b/>
          <w:sz w:val="22"/>
          <w:szCs w:val="22"/>
        </w:rPr>
      </w:pPr>
    </w:p>
    <w:tbl>
      <w:tblPr>
        <w:tblStyle w:val="PlainTable21"/>
        <w:tblW w:w="8976" w:type="dxa"/>
        <w:tblLook w:val="04A0" w:firstRow="1" w:lastRow="0" w:firstColumn="1" w:lastColumn="0" w:noHBand="0" w:noVBand="1"/>
      </w:tblPr>
      <w:tblGrid>
        <w:gridCol w:w="510"/>
        <w:gridCol w:w="4800"/>
        <w:gridCol w:w="3666"/>
      </w:tblGrid>
      <w:tr w:rsidR="007C4AB6" w:rsidRPr="009419D0" w:rsidTr="009E7368">
        <w:trPr>
          <w:cnfStyle w:val="100000000000" w:firstRow="1" w:lastRow="0" w:firstColumn="0" w:lastColumn="0" w:oddVBand="0" w:evenVBand="0" w:oddHBand="0"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510" w:type="dxa"/>
          </w:tcPr>
          <w:p w:rsidR="007C4AB6" w:rsidRPr="009419D0" w:rsidRDefault="007C4AB6" w:rsidP="009E7368">
            <w:pPr>
              <w:pStyle w:val="Normie"/>
              <w:ind w:left="0"/>
              <w:jc w:val="center"/>
              <w:rPr>
                <w:b w:val="0"/>
                <w:bCs w:val="0"/>
                <w:sz w:val="22"/>
                <w:szCs w:val="22"/>
                <w:lang w:val="en-US"/>
              </w:rPr>
            </w:pPr>
            <w:r w:rsidRPr="009419D0">
              <w:rPr>
                <w:b w:val="0"/>
                <w:bCs w:val="0"/>
                <w:sz w:val="22"/>
                <w:szCs w:val="22"/>
                <w:lang w:val="en-US"/>
              </w:rPr>
              <w:t>No</w:t>
            </w:r>
          </w:p>
        </w:tc>
        <w:tc>
          <w:tcPr>
            <w:tcW w:w="4800" w:type="dxa"/>
          </w:tcPr>
          <w:p w:rsidR="007C4AB6" w:rsidRPr="009419D0" w:rsidRDefault="007C4AB6" w:rsidP="009E7368">
            <w:pPr>
              <w:pStyle w:val="Normie"/>
              <w:ind w:left="0"/>
              <w:jc w:val="center"/>
              <w:cnfStyle w:val="100000000000" w:firstRow="1" w:lastRow="0" w:firstColumn="0" w:lastColumn="0" w:oddVBand="0" w:evenVBand="0" w:oddHBand="0" w:evenHBand="0" w:firstRowFirstColumn="0" w:firstRowLastColumn="0" w:lastRowFirstColumn="0" w:lastRowLastColumn="0"/>
              <w:rPr>
                <w:b w:val="0"/>
                <w:bCs w:val="0"/>
                <w:sz w:val="22"/>
                <w:szCs w:val="22"/>
                <w:lang w:val="en-US"/>
              </w:rPr>
            </w:pPr>
            <w:r w:rsidRPr="009419D0">
              <w:rPr>
                <w:b w:val="0"/>
                <w:bCs w:val="0"/>
                <w:sz w:val="22"/>
                <w:szCs w:val="22"/>
                <w:lang w:val="en-US"/>
              </w:rPr>
              <w:t>Fiscal Incentives (Article 19)</w:t>
            </w:r>
          </w:p>
        </w:tc>
        <w:tc>
          <w:tcPr>
            <w:tcW w:w="3666" w:type="dxa"/>
          </w:tcPr>
          <w:p w:rsidR="007C4AB6" w:rsidRPr="009419D0" w:rsidRDefault="007C4AB6" w:rsidP="009E7368">
            <w:pPr>
              <w:pStyle w:val="Normie"/>
              <w:ind w:left="0"/>
              <w:jc w:val="center"/>
              <w:cnfStyle w:val="100000000000" w:firstRow="1" w:lastRow="0" w:firstColumn="0" w:lastColumn="0" w:oddVBand="0" w:evenVBand="0" w:oddHBand="0" w:evenHBand="0" w:firstRowFirstColumn="0" w:firstRowLastColumn="0" w:lastRowFirstColumn="0" w:lastRowLastColumn="0"/>
              <w:rPr>
                <w:b w:val="0"/>
                <w:bCs w:val="0"/>
                <w:sz w:val="22"/>
                <w:szCs w:val="22"/>
                <w:lang w:val="en-US"/>
              </w:rPr>
            </w:pPr>
            <w:r w:rsidRPr="009419D0">
              <w:rPr>
                <w:b w:val="0"/>
                <w:bCs w:val="0"/>
                <w:sz w:val="22"/>
                <w:szCs w:val="22"/>
                <w:lang w:val="en-US"/>
              </w:rPr>
              <w:t>Non-Fiscal Incentives (Article 20)</w:t>
            </w:r>
          </w:p>
        </w:tc>
      </w:tr>
      <w:tr w:rsidR="007C4AB6" w:rsidRPr="009419D0" w:rsidTr="009E736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10" w:type="dxa"/>
          </w:tcPr>
          <w:p w:rsidR="007C4AB6" w:rsidRPr="009419D0" w:rsidRDefault="007C4AB6" w:rsidP="009E7368">
            <w:pPr>
              <w:pStyle w:val="Normie"/>
              <w:ind w:left="0"/>
              <w:jc w:val="left"/>
              <w:rPr>
                <w:b w:val="0"/>
                <w:bCs w:val="0"/>
                <w:sz w:val="22"/>
                <w:szCs w:val="22"/>
                <w:lang w:val="en-US"/>
              </w:rPr>
            </w:pPr>
            <w:r w:rsidRPr="009419D0">
              <w:rPr>
                <w:b w:val="0"/>
                <w:bCs w:val="0"/>
                <w:sz w:val="22"/>
                <w:szCs w:val="22"/>
                <w:lang w:val="en-US"/>
              </w:rPr>
              <w:t>1</w:t>
            </w:r>
          </w:p>
        </w:tc>
        <w:tc>
          <w:tcPr>
            <w:tcW w:w="4800" w:type="dxa"/>
          </w:tcPr>
          <w:p w:rsidR="007C4AB6" w:rsidRPr="009419D0" w:rsidRDefault="007C4AB6" w:rsidP="009E7368">
            <w:pPr>
              <w:pStyle w:val="Normie"/>
              <w:ind w:left="36"/>
              <w:cnfStyle w:val="000000100000" w:firstRow="0" w:lastRow="0" w:firstColumn="0" w:lastColumn="0" w:oddVBand="0" w:evenVBand="0" w:oddHBand="1" w:evenHBand="0" w:firstRowFirstColumn="0" w:firstRowLastColumn="0" w:lastRowFirstColumn="0" w:lastRowLastColumn="0"/>
              <w:rPr>
                <w:sz w:val="22"/>
                <w:szCs w:val="22"/>
                <w:lang w:val="id-ID"/>
              </w:rPr>
            </w:pPr>
            <w:r w:rsidRPr="009419D0">
              <w:rPr>
                <w:color w:val="0E101A"/>
                <w:sz w:val="22"/>
                <w:szCs w:val="22"/>
                <w:lang w:val="en-US" w:eastAsia="en-ID"/>
              </w:rPr>
              <w:t>Incentives for import duty on the import of BEV;</w:t>
            </w:r>
          </w:p>
        </w:tc>
        <w:tc>
          <w:tcPr>
            <w:tcW w:w="3666" w:type="dxa"/>
          </w:tcPr>
          <w:p w:rsidR="007C4AB6" w:rsidRPr="009419D0" w:rsidRDefault="007C4AB6" w:rsidP="009E7368">
            <w:pPr>
              <w:pStyle w:val="Normie"/>
              <w:ind w:left="37"/>
              <w:cnfStyle w:val="000000100000" w:firstRow="0" w:lastRow="0" w:firstColumn="0" w:lastColumn="0" w:oddVBand="0" w:evenVBand="0" w:oddHBand="1" w:evenHBand="0" w:firstRowFirstColumn="0" w:firstRowLastColumn="0" w:lastRowFirstColumn="0" w:lastRowLastColumn="0"/>
              <w:rPr>
                <w:sz w:val="22"/>
                <w:szCs w:val="22"/>
                <w:lang w:val="en-US"/>
              </w:rPr>
            </w:pPr>
            <w:r w:rsidRPr="009419D0">
              <w:rPr>
                <w:color w:val="0E101A"/>
                <w:sz w:val="22"/>
                <w:szCs w:val="22"/>
                <w:lang w:val="en-US" w:eastAsia="en-ID"/>
              </w:rPr>
              <w:t>Exclusion from restrictions on the use of certain roads;</w:t>
            </w:r>
          </w:p>
        </w:tc>
      </w:tr>
      <w:tr w:rsidR="007C4AB6" w:rsidRPr="009419D0" w:rsidTr="009E7368">
        <w:trPr>
          <w:trHeight w:val="214"/>
        </w:trPr>
        <w:tc>
          <w:tcPr>
            <w:cnfStyle w:val="001000000000" w:firstRow="0" w:lastRow="0" w:firstColumn="1" w:lastColumn="0" w:oddVBand="0" w:evenVBand="0" w:oddHBand="0" w:evenHBand="0" w:firstRowFirstColumn="0" w:firstRowLastColumn="0" w:lastRowFirstColumn="0" w:lastRowLastColumn="0"/>
            <w:tcW w:w="510" w:type="dxa"/>
          </w:tcPr>
          <w:p w:rsidR="007C4AB6" w:rsidRPr="009419D0" w:rsidRDefault="007C4AB6" w:rsidP="009E7368">
            <w:pPr>
              <w:pStyle w:val="Normie"/>
              <w:ind w:left="0"/>
              <w:jc w:val="left"/>
              <w:rPr>
                <w:b w:val="0"/>
                <w:bCs w:val="0"/>
                <w:sz w:val="22"/>
                <w:szCs w:val="22"/>
                <w:lang w:val="en-US"/>
              </w:rPr>
            </w:pPr>
            <w:r w:rsidRPr="009419D0">
              <w:rPr>
                <w:b w:val="0"/>
                <w:bCs w:val="0"/>
                <w:sz w:val="22"/>
                <w:szCs w:val="22"/>
                <w:lang w:val="en-US"/>
              </w:rPr>
              <w:t>2</w:t>
            </w:r>
          </w:p>
        </w:tc>
        <w:tc>
          <w:tcPr>
            <w:tcW w:w="4800" w:type="dxa"/>
          </w:tcPr>
          <w:p w:rsidR="007C4AB6" w:rsidRPr="009419D0" w:rsidRDefault="007C4AB6" w:rsidP="009E7368">
            <w:pPr>
              <w:pStyle w:val="Normie"/>
              <w:ind w:left="36"/>
              <w:cnfStyle w:val="000000000000" w:firstRow="0" w:lastRow="0" w:firstColumn="0" w:lastColumn="0" w:oddVBand="0" w:evenVBand="0" w:oddHBand="0" w:evenHBand="0" w:firstRowFirstColumn="0" w:firstRowLastColumn="0" w:lastRowFirstColumn="0" w:lastRowLastColumn="0"/>
              <w:rPr>
                <w:sz w:val="22"/>
                <w:szCs w:val="22"/>
                <w:lang w:val="id-ID"/>
              </w:rPr>
            </w:pPr>
            <w:r w:rsidRPr="009419D0">
              <w:rPr>
                <w:color w:val="0E101A"/>
                <w:sz w:val="22"/>
                <w:szCs w:val="22"/>
                <w:lang w:val="en-US" w:eastAsia="en-ID"/>
              </w:rPr>
              <w:t>Sales tax incentives on luxury goods</w:t>
            </w:r>
            <w:r w:rsidRPr="009419D0">
              <w:rPr>
                <w:sz w:val="22"/>
                <w:szCs w:val="22"/>
                <w:lang w:val="id-ID"/>
              </w:rPr>
              <w:t>;</w:t>
            </w:r>
          </w:p>
        </w:tc>
        <w:tc>
          <w:tcPr>
            <w:tcW w:w="3666" w:type="dxa"/>
          </w:tcPr>
          <w:p w:rsidR="007C4AB6" w:rsidRPr="009419D0" w:rsidRDefault="007C4AB6" w:rsidP="009E7368">
            <w:pPr>
              <w:pStyle w:val="Normie"/>
              <w:ind w:left="37"/>
              <w:cnfStyle w:val="000000000000" w:firstRow="0" w:lastRow="0" w:firstColumn="0" w:lastColumn="0" w:oddVBand="0" w:evenVBand="0" w:oddHBand="0" w:evenHBand="0" w:firstRowFirstColumn="0" w:firstRowLastColumn="0" w:lastRowFirstColumn="0" w:lastRowLastColumn="0"/>
              <w:rPr>
                <w:sz w:val="22"/>
                <w:szCs w:val="22"/>
                <w:lang w:val="en-US"/>
              </w:rPr>
            </w:pPr>
            <w:r w:rsidRPr="009419D0">
              <w:rPr>
                <w:sz w:val="22"/>
                <w:szCs w:val="22"/>
                <w:lang w:val="en-US"/>
              </w:rPr>
              <w:t>Delegation of production rights for technology related to BEV whose patent license has been held by the Central Government and/or Regional Government;</w:t>
            </w:r>
          </w:p>
        </w:tc>
      </w:tr>
      <w:tr w:rsidR="007C4AB6" w:rsidRPr="009419D0" w:rsidTr="009E7368">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510" w:type="dxa"/>
          </w:tcPr>
          <w:p w:rsidR="007C4AB6" w:rsidRPr="009419D0" w:rsidRDefault="007C4AB6" w:rsidP="009E7368">
            <w:pPr>
              <w:pStyle w:val="Normie"/>
              <w:ind w:left="0"/>
              <w:jc w:val="left"/>
              <w:rPr>
                <w:b w:val="0"/>
                <w:bCs w:val="0"/>
                <w:sz w:val="22"/>
                <w:szCs w:val="22"/>
                <w:lang w:val="en-US"/>
              </w:rPr>
            </w:pPr>
            <w:r w:rsidRPr="009419D0">
              <w:rPr>
                <w:b w:val="0"/>
                <w:bCs w:val="0"/>
                <w:sz w:val="22"/>
                <w:szCs w:val="22"/>
                <w:lang w:val="en-US"/>
              </w:rPr>
              <w:t>3</w:t>
            </w:r>
          </w:p>
        </w:tc>
        <w:tc>
          <w:tcPr>
            <w:tcW w:w="4800" w:type="dxa"/>
          </w:tcPr>
          <w:p w:rsidR="007C4AB6" w:rsidRPr="009419D0" w:rsidRDefault="007C4AB6" w:rsidP="009E7368">
            <w:pPr>
              <w:pStyle w:val="Normie"/>
              <w:ind w:left="36"/>
              <w:cnfStyle w:val="000000100000" w:firstRow="0" w:lastRow="0" w:firstColumn="0" w:lastColumn="0" w:oddVBand="0" w:evenVBand="0" w:oddHBand="1" w:evenHBand="0" w:firstRowFirstColumn="0" w:firstRowLastColumn="0" w:lastRowFirstColumn="0" w:lastRowLastColumn="0"/>
              <w:rPr>
                <w:sz w:val="22"/>
                <w:szCs w:val="22"/>
                <w:lang w:val="id-ID"/>
              </w:rPr>
            </w:pPr>
            <w:r w:rsidRPr="009419D0">
              <w:rPr>
                <w:color w:val="0E101A"/>
                <w:sz w:val="22"/>
                <w:szCs w:val="22"/>
              </w:rPr>
              <w:t>Incentives for exemption or reduction of central and regional taxes;</w:t>
            </w:r>
          </w:p>
        </w:tc>
        <w:tc>
          <w:tcPr>
            <w:tcW w:w="3666" w:type="dxa"/>
          </w:tcPr>
          <w:p w:rsidR="007C4AB6" w:rsidRPr="009419D0" w:rsidRDefault="007C4AB6" w:rsidP="009E7368">
            <w:pPr>
              <w:pStyle w:val="Normie"/>
              <w:ind w:left="37"/>
              <w:cnfStyle w:val="000000100000" w:firstRow="0" w:lastRow="0" w:firstColumn="0" w:lastColumn="0" w:oddVBand="0" w:evenVBand="0" w:oddHBand="1" w:evenHBand="0" w:firstRowFirstColumn="0" w:firstRowLastColumn="0" w:lastRowFirstColumn="0" w:lastRowLastColumn="0"/>
              <w:rPr>
                <w:sz w:val="22"/>
                <w:szCs w:val="22"/>
                <w:lang w:val="id-ID"/>
              </w:rPr>
            </w:pPr>
            <w:r w:rsidRPr="009419D0">
              <w:rPr>
                <w:sz w:val="22"/>
                <w:szCs w:val="22"/>
                <w:lang w:val="en-US"/>
              </w:rPr>
              <w:t>Fostering security and/or securing the industrial sector’s operational activities to sustain or smooth logistical and/or production activities for certain industrial companies that are national vital objects.</w:t>
            </w:r>
          </w:p>
        </w:tc>
      </w:tr>
      <w:tr w:rsidR="007C4AB6" w:rsidRPr="009419D0" w:rsidTr="009E7368">
        <w:trPr>
          <w:trHeight w:val="326"/>
        </w:trPr>
        <w:tc>
          <w:tcPr>
            <w:cnfStyle w:val="001000000000" w:firstRow="0" w:lastRow="0" w:firstColumn="1" w:lastColumn="0" w:oddVBand="0" w:evenVBand="0" w:oddHBand="0" w:evenHBand="0" w:firstRowFirstColumn="0" w:firstRowLastColumn="0" w:lastRowFirstColumn="0" w:lastRowLastColumn="0"/>
            <w:tcW w:w="510" w:type="dxa"/>
          </w:tcPr>
          <w:p w:rsidR="007C4AB6" w:rsidRPr="009419D0" w:rsidRDefault="007C4AB6" w:rsidP="009E7368">
            <w:pPr>
              <w:pStyle w:val="Normie"/>
              <w:ind w:left="0"/>
              <w:jc w:val="left"/>
              <w:rPr>
                <w:b w:val="0"/>
                <w:bCs w:val="0"/>
                <w:sz w:val="22"/>
                <w:szCs w:val="22"/>
                <w:lang w:val="en-US"/>
              </w:rPr>
            </w:pPr>
            <w:r w:rsidRPr="009419D0">
              <w:rPr>
                <w:b w:val="0"/>
                <w:bCs w:val="0"/>
                <w:sz w:val="22"/>
                <w:szCs w:val="22"/>
                <w:lang w:val="en-US"/>
              </w:rPr>
              <w:t>4</w:t>
            </w:r>
          </w:p>
        </w:tc>
        <w:tc>
          <w:tcPr>
            <w:tcW w:w="4800" w:type="dxa"/>
          </w:tcPr>
          <w:p w:rsidR="007C4AB6" w:rsidRPr="009419D0" w:rsidRDefault="007C4AB6" w:rsidP="009E7368">
            <w:pPr>
              <w:pStyle w:val="Normie"/>
              <w:ind w:left="36"/>
              <w:cnfStyle w:val="000000000000" w:firstRow="0" w:lastRow="0" w:firstColumn="0" w:lastColumn="0" w:oddVBand="0" w:evenVBand="0" w:oddHBand="0" w:evenHBand="0" w:firstRowFirstColumn="0" w:firstRowLastColumn="0" w:lastRowFirstColumn="0" w:lastRowLastColumn="0"/>
              <w:rPr>
                <w:sz w:val="22"/>
                <w:szCs w:val="22"/>
                <w:lang w:val="id-ID"/>
              </w:rPr>
            </w:pPr>
            <w:r w:rsidRPr="009419D0">
              <w:rPr>
                <w:color w:val="0E101A"/>
                <w:sz w:val="22"/>
                <w:szCs w:val="22"/>
              </w:rPr>
              <w:t>Import duty incentives on the import of machinery, goods, and materials for investment purposes;</w:t>
            </w:r>
          </w:p>
        </w:tc>
        <w:tc>
          <w:tcPr>
            <w:tcW w:w="3666" w:type="dxa"/>
          </w:tcPr>
          <w:p w:rsidR="007C4AB6" w:rsidRPr="009419D0" w:rsidRDefault="007C4AB6" w:rsidP="009E7368">
            <w:pPr>
              <w:pStyle w:val="Normie"/>
              <w:ind w:left="0"/>
              <w:jc w:val="left"/>
              <w:cnfStyle w:val="000000000000" w:firstRow="0" w:lastRow="0" w:firstColumn="0" w:lastColumn="0" w:oddVBand="0" w:evenVBand="0" w:oddHBand="0" w:evenHBand="0" w:firstRowFirstColumn="0" w:firstRowLastColumn="0" w:lastRowFirstColumn="0" w:lastRowLastColumn="0"/>
              <w:rPr>
                <w:sz w:val="22"/>
                <w:szCs w:val="22"/>
                <w:lang w:val="en-US"/>
              </w:rPr>
            </w:pPr>
          </w:p>
        </w:tc>
      </w:tr>
      <w:tr w:rsidR="007C4AB6" w:rsidRPr="009419D0" w:rsidTr="009E7368">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510" w:type="dxa"/>
          </w:tcPr>
          <w:p w:rsidR="007C4AB6" w:rsidRPr="009419D0" w:rsidRDefault="007C4AB6" w:rsidP="009E7368">
            <w:pPr>
              <w:pStyle w:val="Normie"/>
              <w:ind w:left="0"/>
              <w:jc w:val="left"/>
              <w:rPr>
                <w:b w:val="0"/>
                <w:bCs w:val="0"/>
                <w:sz w:val="22"/>
                <w:szCs w:val="22"/>
                <w:lang w:val="en-US"/>
              </w:rPr>
            </w:pPr>
            <w:r w:rsidRPr="009419D0">
              <w:rPr>
                <w:b w:val="0"/>
                <w:bCs w:val="0"/>
                <w:sz w:val="22"/>
                <w:szCs w:val="22"/>
                <w:lang w:val="en-US"/>
              </w:rPr>
              <w:lastRenderedPageBreak/>
              <w:t>5</w:t>
            </w:r>
          </w:p>
        </w:tc>
        <w:tc>
          <w:tcPr>
            <w:tcW w:w="4800" w:type="dxa"/>
          </w:tcPr>
          <w:p w:rsidR="007C4AB6" w:rsidRPr="009419D0" w:rsidRDefault="007C4AB6" w:rsidP="009E7368">
            <w:pPr>
              <w:pStyle w:val="Normie"/>
              <w:ind w:left="36"/>
              <w:cnfStyle w:val="000000100000" w:firstRow="0" w:lastRow="0" w:firstColumn="0" w:lastColumn="0" w:oddVBand="0" w:evenVBand="0" w:oddHBand="1" w:evenHBand="0" w:firstRowFirstColumn="0" w:firstRowLastColumn="0" w:lastRowFirstColumn="0" w:lastRowLastColumn="0"/>
              <w:rPr>
                <w:sz w:val="22"/>
                <w:szCs w:val="22"/>
                <w:lang w:val="id-ID"/>
              </w:rPr>
            </w:pPr>
            <w:r w:rsidRPr="009419D0">
              <w:rPr>
                <w:color w:val="0E101A"/>
                <w:sz w:val="22"/>
                <w:szCs w:val="22"/>
                <w:lang w:val="en-US" w:eastAsia="en-ID"/>
              </w:rPr>
              <w:t>Postponement of import duties for export</w:t>
            </w:r>
          </w:p>
        </w:tc>
        <w:tc>
          <w:tcPr>
            <w:tcW w:w="3666" w:type="dxa"/>
          </w:tcPr>
          <w:p w:rsidR="007C4AB6" w:rsidRPr="009419D0" w:rsidRDefault="007C4AB6" w:rsidP="009E7368">
            <w:pPr>
              <w:pStyle w:val="Normie"/>
              <w:ind w:left="0"/>
              <w:jc w:val="left"/>
              <w:cnfStyle w:val="000000100000" w:firstRow="0" w:lastRow="0" w:firstColumn="0" w:lastColumn="0" w:oddVBand="0" w:evenVBand="0" w:oddHBand="1" w:evenHBand="0" w:firstRowFirstColumn="0" w:firstRowLastColumn="0" w:lastRowFirstColumn="0" w:lastRowLastColumn="0"/>
              <w:rPr>
                <w:sz w:val="22"/>
                <w:szCs w:val="22"/>
                <w:lang w:val="en-US"/>
              </w:rPr>
            </w:pPr>
          </w:p>
        </w:tc>
      </w:tr>
      <w:tr w:rsidR="007C4AB6" w:rsidRPr="009419D0" w:rsidTr="009E7368">
        <w:trPr>
          <w:trHeight w:val="439"/>
        </w:trPr>
        <w:tc>
          <w:tcPr>
            <w:cnfStyle w:val="001000000000" w:firstRow="0" w:lastRow="0" w:firstColumn="1" w:lastColumn="0" w:oddVBand="0" w:evenVBand="0" w:oddHBand="0" w:evenHBand="0" w:firstRowFirstColumn="0" w:firstRowLastColumn="0" w:lastRowFirstColumn="0" w:lastRowLastColumn="0"/>
            <w:tcW w:w="510" w:type="dxa"/>
          </w:tcPr>
          <w:p w:rsidR="007C4AB6" w:rsidRPr="009419D0" w:rsidRDefault="007C4AB6" w:rsidP="009E7368">
            <w:pPr>
              <w:pStyle w:val="Normie"/>
              <w:ind w:left="0"/>
              <w:jc w:val="left"/>
              <w:rPr>
                <w:b w:val="0"/>
                <w:bCs w:val="0"/>
                <w:sz w:val="22"/>
                <w:szCs w:val="22"/>
                <w:lang w:val="en-US"/>
              </w:rPr>
            </w:pPr>
            <w:r w:rsidRPr="009419D0">
              <w:rPr>
                <w:b w:val="0"/>
                <w:bCs w:val="0"/>
                <w:sz w:val="22"/>
                <w:szCs w:val="22"/>
                <w:lang w:val="en-US"/>
              </w:rPr>
              <w:t>6</w:t>
            </w:r>
          </w:p>
        </w:tc>
        <w:tc>
          <w:tcPr>
            <w:tcW w:w="4800" w:type="dxa"/>
          </w:tcPr>
          <w:p w:rsidR="007C4AB6" w:rsidRPr="009419D0" w:rsidRDefault="007C4AB6" w:rsidP="009E7368">
            <w:pPr>
              <w:pStyle w:val="Normie"/>
              <w:ind w:left="36"/>
              <w:cnfStyle w:val="000000000000" w:firstRow="0" w:lastRow="0" w:firstColumn="0" w:lastColumn="0" w:oddVBand="0" w:evenVBand="0" w:oddHBand="0" w:evenHBand="0" w:firstRowFirstColumn="0" w:firstRowLastColumn="0" w:lastRowFirstColumn="0" w:lastRowLastColumn="0"/>
              <w:rPr>
                <w:sz w:val="22"/>
                <w:szCs w:val="22"/>
                <w:lang w:val="id-ID"/>
              </w:rPr>
            </w:pPr>
            <w:r w:rsidRPr="009419D0">
              <w:rPr>
                <w:color w:val="0E101A"/>
                <w:sz w:val="22"/>
                <w:szCs w:val="22"/>
                <w:lang w:val="en-US" w:eastAsia="en-ID"/>
              </w:rPr>
              <w:t>The Government bears import duty incentives on the importation of raw materials and/or supporting materials used in the production process;</w:t>
            </w:r>
          </w:p>
        </w:tc>
        <w:tc>
          <w:tcPr>
            <w:tcW w:w="3666" w:type="dxa"/>
          </w:tcPr>
          <w:p w:rsidR="007C4AB6" w:rsidRPr="009419D0" w:rsidRDefault="007C4AB6" w:rsidP="009E7368">
            <w:pPr>
              <w:pStyle w:val="Normie"/>
              <w:ind w:left="0"/>
              <w:jc w:val="left"/>
              <w:cnfStyle w:val="000000000000" w:firstRow="0" w:lastRow="0" w:firstColumn="0" w:lastColumn="0" w:oddVBand="0" w:evenVBand="0" w:oddHBand="0" w:evenHBand="0" w:firstRowFirstColumn="0" w:firstRowLastColumn="0" w:lastRowFirstColumn="0" w:lastRowLastColumn="0"/>
              <w:rPr>
                <w:sz w:val="22"/>
                <w:szCs w:val="22"/>
                <w:lang w:val="en-US"/>
              </w:rPr>
            </w:pPr>
          </w:p>
        </w:tc>
      </w:tr>
      <w:tr w:rsidR="007C4AB6" w:rsidRPr="009419D0" w:rsidTr="009E7368">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510" w:type="dxa"/>
          </w:tcPr>
          <w:p w:rsidR="007C4AB6" w:rsidRPr="009419D0" w:rsidRDefault="007C4AB6" w:rsidP="009E7368">
            <w:pPr>
              <w:pStyle w:val="Normie"/>
              <w:ind w:left="0"/>
              <w:jc w:val="left"/>
              <w:rPr>
                <w:b w:val="0"/>
                <w:bCs w:val="0"/>
                <w:sz w:val="22"/>
                <w:szCs w:val="22"/>
                <w:lang w:val="en-US"/>
              </w:rPr>
            </w:pPr>
            <w:r w:rsidRPr="009419D0">
              <w:rPr>
                <w:b w:val="0"/>
                <w:bCs w:val="0"/>
                <w:sz w:val="22"/>
                <w:szCs w:val="22"/>
                <w:lang w:val="en-US"/>
              </w:rPr>
              <w:t>7</w:t>
            </w:r>
          </w:p>
        </w:tc>
        <w:tc>
          <w:tcPr>
            <w:tcW w:w="4800" w:type="dxa"/>
          </w:tcPr>
          <w:p w:rsidR="007C4AB6" w:rsidRPr="009419D0" w:rsidRDefault="007C4AB6" w:rsidP="009E7368">
            <w:pPr>
              <w:pStyle w:val="Normie"/>
              <w:ind w:left="36"/>
              <w:cnfStyle w:val="000000100000" w:firstRow="0" w:lastRow="0" w:firstColumn="0" w:lastColumn="0" w:oddVBand="0" w:evenVBand="0" w:oddHBand="1" w:evenHBand="0" w:firstRowFirstColumn="0" w:firstRowLastColumn="0" w:lastRowFirstColumn="0" w:lastRowLastColumn="0"/>
              <w:rPr>
                <w:sz w:val="22"/>
                <w:szCs w:val="22"/>
                <w:lang w:val="id-ID"/>
              </w:rPr>
            </w:pPr>
            <w:r w:rsidRPr="009419D0">
              <w:rPr>
                <w:color w:val="0E101A"/>
                <w:sz w:val="22"/>
                <w:szCs w:val="22"/>
                <w:lang w:val="en-US" w:eastAsia="en-ID"/>
              </w:rPr>
              <w:t>Incentives for building a charging station;</w:t>
            </w:r>
          </w:p>
        </w:tc>
        <w:tc>
          <w:tcPr>
            <w:tcW w:w="3666" w:type="dxa"/>
          </w:tcPr>
          <w:p w:rsidR="007C4AB6" w:rsidRPr="009419D0" w:rsidRDefault="007C4AB6" w:rsidP="009E7368">
            <w:pPr>
              <w:pStyle w:val="Normie"/>
              <w:ind w:left="0"/>
              <w:jc w:val="left"/>
              <w:cnfStyle w:val="000000100000" w:firstRow="0" w:lastRow="0" w:firstColumn="0" w:lastColumn="0" w:oddVBand="0" w:evenVBand="0" w:oddHBand="1" w:evenHBand="0" w:firstRowFirstColumn="0" w:firstRowLastColumn="0" w:lastRowFirstColumn="0" w:lastRowLastColumn="0"/>
              <w:rPr>
                <w:sz w:val="22"/>
                <w:szCs w:val="22"/>
                <w:lang w:val="en-US"/>
              </w:rPr>
            </w:pPr>
          </w:p>
        </w:tc>
      </w:tr>
      <w:tr w:rsidR="007C4AB6" w:rsidRPr="009419D0" w:rsidTr="009E7368">
        <w:trPr>
          <w:trHeight w:val="218"/>
        </w:trPr>
        <w:tc>
          <w:tcPr>
            <w:cnfStyle w:val="001000000000" w:firstRow="0" w:lastRow="0" w:firstColumn="1" w:lastColumn="0" w:oddVBand="0" w:evenVBand="0" w:oddHBand="0" w:evenHBand="0" w:firstRowFirstColumn="0" w:firstRowLastColumn="0" w:lastRowFirstColumn="0" w:lastRowLastColumn="0"/>
            <w:tcW w:w="510" w:type="dxa"/>
          </w:tcPr>
          <w:p w:rsidR="007C4AB6" w:rsidRPr="009419D0" w:rsidRDefault="007C4AB6" w:rsidP="009E7368">
            <w:pPr>
              <w:pStyle w:val="Normie"/>
              <w:ind w:left="0"/>
              <w:jc w:val="left"/>
              <w:rPr>
                <w:b w:val="0"/>
                <w:bCs w:val="0"/>
                <w:sz w:val="22"/>
                <w:szCs w:val="22"/>
                <w:lang w:val="en-US"/>
              </w:rPr>
            </w:pPr>
            <w:r w:rsidRPr="009419D0">
              <w:rPr>
                <w:b w:val="0"/>
                <w:bCs w:val="0"/>
                <w:sz w:val="22"/>
                <w:szCs w:val="22"/>
                <w:lang w:val="en-US"/>
              </w:rPr>
              <w:t>8</w:t>
            </w:r>
          </w:p>
        </w:tc>
        <w:tc>
          <w:tcPr>
            <w:tcW w:w="4800" w:type="dxa"/>
          </w:tcPr>
          <w:p w:rsidR="007C4AB6" w:rsidRPr="009419D0" w:rsidRDefault="007C4AB6" w:rsidP="009E7368">
            <w:pPr>
              <w:pStyle w:val="Normie"/>
              <w:ind w:left="36"/>
              <w:cnfStyle w:val="000000000000" w:firstRow="0" w:lastRow="0" w:firstColumn="0" w:lastColumn="0" w:oddVBand="0" w:evenVBand="0" w:oddHBand="0" w:evenHBand="0" w:firstRowFirstColumn="0" w:firstRowLastColumn="0" w:lastRowFirstColumn="0" w:lastRowLastColumn="0"/>
              <w:rPr>
                <w:sz w:val="22"/>
                <w:szCs w:val="22"/>
                <w:lang w:val="id-ID"/>
              </w:rPr>
            </w:pPr>
            <w:r w:rsidRPr="009419D0">
              <w:rPr>
                <w:color w:val="0E101A"/>
                <w:sz w:val="22"/>
                <w:szCs w:val="22"/>
                <w:lang w:val="en-US" w:eastAsia="en-ID"/>
              </w:rPr>
              <w:t>Export financing incentives;</w:t>
            </w:r>
          </w:p>
        </w:tc>
        <w:tc>
          <w:tcPr>
            <w:tcW w:w="3666" w:type="dxa"/>
          </w:tcPr>
          <w:p w:rsidR="007C4AB6" w:rsidRPr="009419D0" w:rsidRDefault="007C4AB6" w:rsidP="009E7368">
            <w:pPr>
              <w:pStyle w:val="Normie"/>
              <w:ind w:left="0"/>
              <w:jc w:val="left"/>
              <w:cnfStyle w:val="000000000000" w:firstRow="0" w:lastRow="0" w:firstColumn="0" w:lastColumn="0" w:oddVBand="0" w:evenVBand="0" w:oddHBand="0" w:evenHBand="0" w:firstRowFirstColumn="0" w:firstRowLastColumn="0" w:lastRowFirstColumn="0" w:lastRowLastColumn="0"/>
              <w:rPr>
                <w:sz w:val="22"/>
                <w:szCs w:val="22"/>
                <w:lang w:val="en-US"/>
              </w:rPr>
            </w:pPr>
          </w:p>
        </w:tc>
      </w:tr>
      <w:tr w:rsidR="007C4AB6" w:rsidRPr="009419D0" w:rsidTr="009E7368">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510" w:type="dxa"/>
          </w:tcPr>
          <w:p w:rsidR="007C4AB6" w:rsidRPr="009419D0" w:rsidRDefault="007C4AB6" w:rsidP="009E7368">
            <w:pPr>
              <w:pStyle w:val="Normie"/>
              <w:ind w:left="0"/>
              <w:jc w:val="left"/>
              <w:rPr>
                <w:b w:val="0"/>
                <w:bCs w:val="0"/>
                <w:sz w:val="22"/>
                <w:szCs w:val="22"/>
                <w:lang w:val="en-US"/>
              </w:rPr>
            </w:pPr>
            <w:r w:rsidRPr="009419D0">
              <w:rPr>
                <w:b w:val="0"/>
                <w:bCs w:val="0"/>
                <w:sz w:val="22"/>
                <w:szCs w:val="22"/>
                <w:lang w:val="en-US"/>
              </w:rPr>
              <w:t>9</w:t>
            </w:r>
          </w:p>
        </w:tc>
        <w:tc>
          <w:tcPr>
            <w:tcW w:w="4800" w:type="dxa"/>
          </w:tcPr>
          <w:p w:rsidR="007C4AB6" w:rsidRPr="009419D0" w:rsidRDefault="007C4AB6" w:rsidP="009E7368">
            <w:pPr>
              <w:pStyle w:val="Normie"/>
              <w:ind w:left="36"/>
              <w:cnfStyle w:val="000000100000" w:firstRow="0" w:lastRow="0" w:firstColumn="0" w:lastColumn="0" w:oddVBand="0" w:evenVBand="0" w:oddHBand="1" w:evenHBand="0" w:firstRowFirstColumn="0" w:firstRowLastColumn="0" w:lastRowFirstColumn="0" w:lastRowLastColumn="0"/>
              <w:rPr>
                <w:sz w:val="22"/>
                <w:szCs w:val="22"/>
                <w:lang w:val="id-ID"/>
              </w:rPr>
            </w:pPr>
            <w:r w:rsidRPr="009419D0">
              <w:rPr>
                <w:color w:val="0E101A"/>
                <w:sz w:val="22"/>
                <w:szCs w:val="22"/>
                <w:lang w:val="en-US" w:eastAsia="en-ID"/>
              </w:rPr>
              <w:t>Fiscal incentives for research, development, and technological innovation activities as well as industrial vocational BEV components;</w:t>
            </w:r>
          </w:p>
        </w:tc>
        <w:tc>
          <w:tcPr>
            <w:tcW w:w="3666" w:type="dxa"/>
          </w:tcPr>
          <w:p w:rsidR="007C4AB6" w:rsidRPr="009419D0" w:rsidRDefault="007C4AB6" w:rsidP="009E7368">
            <w:pPr>
              <w:pStyle w:val="Normie"/>
              <w:ind w:left="0"/>
              <w:jc w:val="left"/>
              <w:cnfStyle w:val="000000100000" w:firstRow="0" w:lastRow="0" w:firstColumn="0" w:lastColumn="0" w:oddVBand="0" w:evenVBand="0" w:oddHBand="1" w:evenHBand="0" w:firstRowFirstColumn="0" w:firstRowLastColumn="0" w:lastRowFirstColumn="0" w:lastRowLastColumn="0"/>
              <w:rPr>
                <w:sz w:val="22"/>
                <w:szCs w:val="22"/>
                <w:lang w:val="en-US"/>
              </w:rPr>
            </w:pPr>
          </w:p>
        </w:tc>
      </w:tr>
      <w:tr w:rsidR="007C4AB6" w:rsidRPr="009419D0" w:rsidTr="009E7368">
        <w:trPr>
          <w:trHeight w:val="321"/>
        </w:trPr>
        <w:tc>
          <w:tcPr>
            <w:cnfStyle w:val="001000000000" w:firstRow="0" w:lastRow="0" w:firstColumn="1" w:lastColumn="0" w:oddVBand="0" w:evenVBand="0" w:oddHBand="0" w:evenHBand="0" w:firstRowFirstColumn="0" w:firstRowLastColumn="0" w:lastRowFirstColumn="0" w:lastRowLastColumn="0"/>
            <w:tcW w:w="510" w:type="dxa"/>
          </w:tcPr>
          <w:p w:rsidR="007C4AB6" w:rsidRPr="009419D0" w:rsidRDefault="007C4AB6" w:rsidP="009E7368">
            <w:pPr>
              <w:pStyle w:val="Normie"/>
              <w:ind w:left="0"/>
              <w:jc w:val="left"/>
              <w:rPr>
                <w:b w:val="0"/>
                <w:bCs w:val="0"/>
                <w:sz w:val="22"/>
                <w:szCs w:val="22"/>
                <w:lang w:val="en-US"/>
              </w:rPr>
            </w:pPr>
            <w:r w:rsidRPr="009419D0">
              <w:rPr>
                <w:b w:val="0"/>
                <w:bCs w:val="0"/>
                <w:sz w:val="22"/>
                <w:szCs w:val="22"/>
                <w:lang w:val="en-US"/>
              </w:rPr>
              <w:t>10</w:t>
            </w:r>
          </w:p>
        </w:tc>
        <w:tc>
          <w:tcPr>
            <w:tcW w:w="4800" w:type="dxa"/>
          </w:tcPr>
          <w:p w:rsidR="007C4AB6" w:rsidRPr="009419D0" w:rsidRDefault="007C4AB6" w:rsidP="009E7368">
            <w:pPr>
              <w:pStyle w:val="Normie"/>
              <w:ind w:left="36"/>
              <w:cnfStyle w:val="000000000000" w:firstRow="0" w:lastRow="0" w:firstColumn="0" w:lastColumn="0" w:oddVBand="0" w:evenVBand="0" w:oddHBand="0" w:evenHBand="0" w:firstRowFirstColumn="0" w:firstRowLastColumn="0" w:lastRowFirstColumn="0" w:lastRowLastColumn="0"/>
              <w:rPr>
                <w:sz w:val="22"/>
                <w:szCs w:val="22"/>
                <w:lang w:val="id-ID"/>
              </w:rPr>
            </w:pPr>
            <w:r w:rsidRPr="009419D0">
              <w:rPr>
                <w:color w:val="0E101A"/>
                <w:sz w:val="22"/>
                <w:szCs w:val="22"/>
                <w:lang w:val="en-US" w:eastAsia="en-ID"/>
              </w:rPr>
              <w:t>Parking rates at locations determined by the Regional Government;</w:t>
            </w:r>
          </w:p>
        </w:tc>
        <w:tc>
          <w:tcPr>
            <w:tcW w:w="3666" w:type="dxa"/>
          </w:tcPr>
          <w:p w:rsidR="007C4AB6" w:rsidRPr="009419D0" w:rsidRDefault="007C4AB6" w:rsidP="009E7368">
            <w:pPr>
              <w:pStyle w:val="Normie"/>
              <w:ind w:left="0"/>
              <w:jc w:val="left"/>
              <w:cnfStyle w:val="000000000000" w:firstRow="0" w:lastRow="0" w:firstColumn="0" w:lastColumn="0" w:oddVBand="0" w:evenVBand="0" w:oddHBand="0" w:evenHBand="0" w:firstRowFirstColumn="0" w:firstRowLastColumn="0" w:lastRowFirstColumn="0" w:lastRowLastColumn="0"/>
              <w:rPr>
                <w:sz w:val="22"/>
                <w:szCs w:val="22"/>
                <w:lang w:val="en-US"/>
              </w:rPr>
            </w:pPr>
          </w:p>
        </w:tc>
      </w:tr>
      <w:tr w:rsidR="007C4AB6" w:rsidRPr="009419D0" w:rsidTr="009E7368">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510" w:type="dxa"/>
          </w:tcPr>
          <w:p w:rsidR="007C4AB6" w:rsidRPr="009419D0" w:rsidRDefault="007C4AB6" w:rsidP="009E7368">
            <w:pPr>
              <w:pStyle w:val="Normie"/>
              <w:ind w:left="0"/>
              <w:jc w:val="left"/>
              <w:rPr>
                <w:b w:val="0"/>
                <w:bCs w:val="0"/>
                <w:sz w:val="22"/>
                <w:szCs w:val="22"/>
                <w:lang w:val="en-US"/>
              </w:rPr>
            </w:pPr>
            <w:r w:rsidRPr="009419D0">
              <w:rPr>
                <w:b w:val="0"/>
                <w:bCs w:val="0"/>
                <w:sz w:val="22"/>
                <w:szCs w:val="22"/>
                <w:lang w:val="en-US"/>
              </w:rPr>
              <w:t>11</w:t>
            </w:r>
          </w:p>
        </w:tc>
        <w:tc>
          <w:tcPr>
            <w:tcW w:w="4800" w:type="dxa"/>
          </w:tcPr>
          <w:p w:rsidR="007C4AB6" w:rsidRPr="009419D0" w:rsidRDefault="007C4AB6" w:rsidP="009E7368">
            <w:pPr>
              <w:pStyle w:val="Normie"/>
              <w:ind w:left="36"/>
              <w:cnfStyle w:val="000000100000" w:firstRow="0" w:lastRow="0" w:firstColumn="0" w:lastColumn="0" w:oddVBand="0" w:evenVBand="0" w:oddHBand="1" w:evenHBand="0" w:firstRowFirstColumn="0" w:firstRowLastColumn="0" w:lastRowFirstColumn="0" w:lastRowLastColumn="0"/>
              <w:rPr>
                <w:sz w:val="22"/>
                <w:szCs w:val="22"/>
                <w:lang w:val="id-ID"/>
              </w:rPr>
            </w:pPr>
            <w:r w:rsidRPr="009419D0">
              <w:rPr>
                <w:color w:val="0E101A"/>
                <w:sz w:val="22"/>
                <w:szCs w:val="22"/>
                <w:lang w:val="en-US" w:eastAsia="en-ID"/>
              </w:rPr>
              <w:t>Reduction of the cost of charging electricity at charging station;</w:t>
            </w:r>
          </w:p>
        </w:tc>
        <w:tc>
          <w:tcPr>
            <w:tcW w:w="3666" w:type="dxa"/>
          </w:tcPr>
          <w:p w:rsidR="007C4AB6" w:rsidRPr="009419D0" w:rsidRDefault="007C4AB6" w:rsidP="009E7368">
            <w:pPr>
              <w:pStyle w:val="Normie"/>
              <w:ind w:left="0"/>
              <w:jc w:val="left"/>
              <w:cnfStyle w:val="000000100000" w:firstRow="0" w:lastRow="0" w:firstColumn="0" w:lastColumn="0" w:oddVBand="0" w:evenVBand="0" w:oddHBand="1" w:evenHBand="0" w:firstRowFirstColumn="0" w:firstRowLastColumn="0" w:lastRowFirstColumn="0" w:lastRowLastColumn="0"/>
              <w:rPr>
                <w:sz w:val="22"/>
                <w:szCs w:val="22"/>
                <w:lang w:val="en-US"/>
              </w:rPr>
            </w:pPr>
          </w:p>
        </w:tc>
      </w:tr>
      <w:tr w:rsidR="007C4AB6" w:rsidRPr="009419D0" w:rsidTr="009E7368">
        <w:trPr>
          <w:trHeight w:val="326"/>
        </w:trPr>
        <w:tc>
          <w:tcPr>
            <w:cnfStyle w:val="001000000000" w:firstRow="0" w:lastRow="0" w:firstColumn="1" w:lastColumn="0" w:oddVBand="0" w:evenVBand="0" w:oddHBand="0" w:evenHBand="0" w:firstRowFirstColumn="0" w:firstRowLastColumn="0" w:lastRowFirstColumn="0" w:lastRowLastColumn="0"/>
            <w:tcW w:w="510" w:type="dxa"/>
          </w:tcPr>
          <w:p w:rsidR="007C4AB6" w:rsidRPr="009419D0" w:rsidRDefault="007C4AB6" w:rsidP="009E7368">
            <w:pPr>
              <w:pStyle w:val="Normie"/>
              <w:ind w:left="0"/>
              <w:jc w:val="left"/>
              <w:rPr>
                <w:b w:val="0"/>
                <w:bCs w:val="0"/>
                <w:sz w:val="22"/>
                <w:szCs w:val="22"/>
                <w:lang w:val="en-US"/>
              </w:rPr>
            </w:pPr>
            <w:r w:rsidRPr="009419D0">
              <w:rPr>
                <w:b w:val="0"/>
                <w:bCs w:val="0"/>
                <w:sz w:val="22"/>
                <w:szCs w:val="22"/>
                <w:lang w:val="en-US"/>
              </w:rPr>
              <w:t>12</w:t>
            </w:r>
          </w:p>
        </w:tc>
        <w:tc>
          <w:tcPr>
            <w:tcW w:w="4800" w:type="dxa"/>
          </w:tcPr>
          <w:p w:rsidR="007C4AB6" w:rsidRPr="009419D0" w:rsidRDefault="007C4AB6" w:rsidP="009E7368">
            <w:pPr>
              <w:pStyle w:val="Normie"/>
              <w:ind w:left="36"/>
              <w:cnfStyle w:val="000000000000" w:firstRow="0" w:lastRow="0" w:firstColumn="0" w:lastColumn="0" w:oddVBand="0" w:evenVBand="0" w:oddHBand="0" w:evenHBand="0" w:firstRowFirstColumn="0" w:firstRowLastColumn="0" w:lastRowFirstColumn="0" w:lastRowLastColumn="0"/>
              <w:rPr>
                <w:sz w:val="22"/>
                <w:szCs w:val="22"/>
                <w:lang w:val="id-ID"/>
              </w:rPr>
            </w:pPr>
            <w:r w:rsidRPr="009419D0">
              <w:rPr>
                <w:color w:val="0E101A"/>
                <w:sz w:val="22"/>
                <w:szCs w:val="22"/>
                <w:lang w:val="en-US" w:eastAsia="en-ID"/>
              </w:rPr>
              <w:t xml:space="preserve">Support for financing the infrastructure and development of charging station; </w:t>
            </w:r>
          </w:p>
        </w:tc>
        <w:tc>
          <w:tcPr>
            <w:tcW w:w="3666" w:type="dxa"/>
          </w:tcPr>
          <w:p w:rsidR="007C4AB6" w:rsidRPr="009419D0" w:rsidRDefault="007C4AB6" w:rsidP="009E7368">
            <w:pPr>
              <w:pStyle w:val="Normie"/>
              <w:ind w:left="0"/>
              <w:jc w:val="left"/>
              <w:cnfStyle w:val="000000000000" w:firstRow="0" w:lastRow="0" w:firstColumn="0" w:lastColumn="0" w:oddVBand="0" w:evenVBand="0" w:oddHBand="0" w:evenHBand="0" w:firstRowFirstColumn="0" w:firstRowLastColumn="0" w:lastRowFirstColumn="0" w:lastRowLastColumn="0"/>
              <w:rPr>
                <w:sz w:val="22"/>
                <w:szCs w:val="22"/>
                <w:lang w:val="en-US"/>
              </w:rPr>
            </w:pPr>
          </w:p>
        </w:tc>
      </w:tr>
      <w:tr w:rsidR="007C4AB6" w:rsidRPr="009419D0" w:rsidTr="009E7368">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510" w:type="dxa"/>
          </w:tcPr>
          <w:p w:rsidR="007C4AB6" w:rsidRPr="009419D0" w:rsidRDefault="007C4AB6" w:rsidP="009E7368">
            <w:pPr>
              <w:pStyle w:val="Normie"/>
              <w:ind w:left="0"/>
              <w:jc w:val="left"/>
              <w:rPr>
                <w:b w:val="0"/>
                <w:bCs w:val="0"/>
                <w:sz w:val="22"/>
                <w:szCs w:val="22"/>
                <w:lang w:val="en-US"/>
              </w:rPr>
            </w:pPr>
            <w:r w:rsidRPr="009419D0">
              <w:rPr>
                <w:b w:val="0"/>
                <w:bCs w:val="0"/>
                <w:sz w:val="22"/>
                <w:szCs w:val="22"/>
                <w:lang w:val="en-US"/>
              </w:rPr>
              <w:t>13</w:t>
            </w:r>
          </w:p>
        </w:tc>
        <w:tc>
          <w:tcPr>
            <w:tcW w:w="4800" w:type="dxa"/>
          </w:tcPr>
          <w:p w:rsidR="007C4AB6" w:rsidRPr="009419D0" w:rsidRDefault="007C4AB6" w:rsidP="009E7368">
            <w:pPr>
              <w:pStyle w:val="Normie"/>
              <w:ind w:left="36"/>
              <w:cnfStyle w:val="000000100000" w:firstRow="0" w:lastRow="0" w:firstColumn="0" w:lastColumn="0" w:oddVBand="0" w:evenVBand="0" w:oddHBand="1" w:evenHBand="0" w:firstRowFirstColumn="0" w:firstRowLastColumn="0" w:lastRowFirstColumn="0" w:lastRowLastColumn="0"/>
              <w:rPr>
                <w:sz w:val="22"/>
                <w:szCs w:val="22"/>
                <w:lang w:val="id-ID"/>
              </w:rPr>
            </w:pPr>
            <w:r w:rsidRPr="009419D0">
              <w:rPr>
                <w:color w:val="0E101A"/>
                <w:sz w:val="22"/>
                <w:szCs w:val="22"/>
                <w:lang w:val="en-US" w:eastAsia="en-ID"/>
              </w:rPr>
              <w:t>Professional competency certifications for human resources of the BEV industry;</w:t>
            </w:r>
          </w:p>
        </w:tc>
        <w:tc>
          <w:tcPr>
            <w:tcW w:w="3666" w:type="dxa"/>
          </w:tcPr>
          <w:p w:rsidR="007C4AB6" w:rsidRPr="009419D0" w:rsidRDefault="007C4AB6" w:rsidP="009E7368">
            <w:pPr>
              <w:pStyle w:val="Normie"/>
              <w:ind w:left="0"/>
              <w:jc w:val="left"/>
              <w:cnfStyle w:val="000000100000" w:firstRow="0" w:lastRow="0" w:firstColumn="0" w:lastColumn="0" w:oddVBand="0" w:evenVBand="0" w:oddHBand="1" w:evenHBand="0" w:firstRowFirstColumn="0" w:firstRowLastColumn="0" w:lastRowFirstColumn="0" w:lastRowLastColumn="0"/>
              <w:rPr>
                <w:sz w:val="22"/>
                <w:szCs w:val="22"/>
                <w:lang w:val="en-US"/>
              </w:rPr>
            </w:pPr>
          </w:p>
        </w:tc>
      </w:tr>
      <w:tr w:rsidR="007C4AB6" w:rsidRPr="009419D0" w:rsidTr="009E7368">
        <w:trPr>
          <w:trHeight w:val="545"/>
        </w:trPr>
        <w:tc>
          <w:tcPr>
            <w:cnfStyle w:val="001000000000" w:firstRow="0" w:lastRow="0" w:firstColumn="1" w:lastColumn="0" w:oddVBand="0" w:evenVBand="0" w:oddHBand="0" w:evenHBand="0" w:firstRowFirstColumn="0" w:firstRowLastColumn="0" w:lastRowFirstColumn="0" w:lastRowLastColumn="0"/>
            <w:tcW w:w="510" w:type="dxa"/>
          </w:tcPr>
          <w:p w:rsidR="007C4AB6" w:rsidRPr="009419D0" w:rsidRDefault="007C4AB6" w:rsidP="009E7368">
            <w:pPr>
              <w:pStyle w:val="Normie"/>
              <w:ind w:left="0"/>
              <w:jc w:val="left"/>
              <w:rPr>
                <w:b w:val="0"/>
                <w:bCs w:val="0"/>
                <w:sz w:val="22"/>
                <w:szCs w:val="22"/>
                <w:lang w:val="en-US"/>
              </w:rPr>
            </w:pPr>
            <w:r w:rsidRPr="009419D0">
              <w:rPr>
                <w:b w:val="0"/>
                <w:bCs w:val="0"/>
                <w:sz w:val="22"/>
                <w:szCs w:val="22"/>
                <w:lang w:val="en-US"/>
              </w:rPr>
              <w:t>14</w:t>
            </w:r>
          </w:p>
        </w:tc>
        <w:tc>
          <w:tcPr>
            <w:tcW w:w="4800" w:type="dxa"/>
          </w:tcPr>
          <w:p w:rsidR="007C4AB6" w:rsidRPr="009419D0" w:rsidRDefault="007C4AB6" w:rsidP="009E7368">
            <w:pPr>
              <w:pStyle w:val="Normie"/>
              <w:ind w:left="36"/>
              <w:cnfStyle w:val="000000000000" w:firstRow="0" w:lastRow="0" w:firstColumn="0" w:lastColumn="0" w:oddVBand="0" w:evenVBand="0" w:oddHBand="0" w:evenHBand="0" w:firstRowFirstColumn="0" w:firstRowLastColumn="0" w:lastRowFirstColumn="0" w:lastRowLastColumn="0"/>
              <w:rPr>
                <w:sz w:val="22"/>
                <w:szCs w:val="22"/>
                <w:lang w:val="id-ID"/>
              </w:rPr>
            </w:pPr>
            <w:r w:rsidRPr="009419D0">
              <w:rPr>
                <w:color w:val="0E101A"/>
                <w:sz w:val="22"/>
                <w:szCs w:val="22"/>
              </w:rPr>
              <w:t>Product certification and/or technical standards for BEV industry companies and BEV component industries.</w:t>
            </w:r>
          </w:p>
        </w:tc>
        <w:tc>
          <w:tcPr>
            <w:tcW w:w="3666" w:type="dxa"/>
          </w:tcPr>
          <w:p w:rsidR="007C4AB6" w:rsidRPr="009419D0" w:rsidRDefault="007C4AB6" w:rsidP="009E7368">
            <w:pPr>
              <w:pStyle w:val="Normie"/>
              <w:ind w:left="0"/>
              <w:jc w:val="left"/>
              <w:cnfStyle w:val="000000000000" w:firstRow="0" w:lastRow="0" w:firstColumn="0" w:lastColumn="0" w:oddVBand="0" w:evenVBand="0" w:oddHBand="0" w:evenHBand="0" w:firstRowFirstColumn="0" w:firstRowLastColumn="0" w:lastRowFirstColumn="0" w:lastRowLastColumn="0"/>
              <w:rPr>
                <w:sz w:val="22"/>
                <w:szCs w:val="22"/>
                <w:lang w:val="en-US"/>
              </w:rPr>
            </w:pPr>
          </w:p>
        </w:tc>
      </w:tr>
    </w:tbl>
    <w:p w:rsidR="007C4AB6" w:rsidRPr="009419D0" w:rsidRDefault="007C4AB6" w:rsidP="007C4AB6">
      <w:pPr>
        <w:tabs>
          <w:tab w:val="left" w:pos="4339"/>
        </w:tabs>
        <w:jc w:val="center"/>
        <w:rPr>
          <w:rFonts w:ascii="Times New Roman" w:hAnsi="Times New Roman" w:cs="Times New Roman"/>
          <w:sz w:val="22"/>
          <w:szCs w:val="22"/>
        </w:rPr>
      </w:pPr>
      <w:r w:rsidRPr="009419D0">
        <w:rPr>
          <w:rFonts w:ascii="Times New Roman" w:eastAsia="Times New Roman" w:hAnsi="Times New Roman" w:cs="Times New Roman"/>
          <w:color w:val="000000"/>
          <w:sz w:val="22"/>
          <w:szCs w:val="22"/>
        </w:rPr>
        <w:t>Figure 2: List of Incentives</w:t>
      </w:r>
    </w:p>
    <w:p w:rsidR="007C4AB6" w:rsidRPr="009419D0" w:rsidRDefault="007C4AB6" w:rsidP="007C4AB6">
      <w:pPr>
        <w:pBdr>
          <w:top w:val="nil"/>
          <w:left w:val="nil"/>
          <w:bottom w:val="nil"/>
          <w:right w:val="nil"/>
          <w:between w:val="nil"/>
        </w:pBdr>
        <w:jc w:val="center"/>
        <w:rPr>
          <w:rFonts w:ascii="Times New Roman" w:hAnsi="Times New Roman" w:cs="Times New Roman"/>
          <w:i/>
          <w:iCs/>
          <w:color w:val="0E101A"/>
          <w:sz w:val="22"/>
          <w:szCs w:val="22"/>
        </w:rPr>
      </w:pPr>
      <w:r w:rsidRPr="009419D0">
        <w:rPr>
          <w:rFonts w:ascii="Times New Roman" w:eastAsia="Times New Roman" w:hAnsi="Times New Roman" w:cs="Times New Roman"/>
          <w:i/>
          <w:iCs/>
          <w:color w:val="000000"/>
          <w:sz w:val="22"/>
          <w:szCs w:val="22"/>
        </w:rPr>
        <w:t xml:space="preserve">Source: </w:t>
      </w:r>
      <w:r w:rsidRPr="009419D0">
        <w:rPr>
          <w:rFonts w:ascii="Times New Roman" w:hAnsi="Times New Roman" w:cs="Times New Roman"/>
          <w:i/>
          <w:iCs/>
          <w:color w:val="0E101A"/>
          <w:sz w:val="22"/>
          <w:szCs w:val="22"/>
        </w:rPr>
        <w:t>President Regulation Number 55 Year 2019.</w:t>
      </w:r>
    </w:p>
    <w:p w:rsidR="007C4AB6" w:rsidRDefault="007C4AB6" w:rsidP="007C4AB6">
      <w:pPr>
        <w:pStyle w:val="ListParagraph"/>
        <w:pBdr>
          <w:top w:val="nil"/>
          <w:left w:val="nil"/>
          <w:bottom w:val="nil"/>
          <w:right w:val="nil"/>
          <w:between w:val="nil"/>
        </w:pBdr>
        <w:ind w:left="426"/>
        <w:jc w:val="both"/>
        <w:rPr>
          <w:rFonts w:ascii="Times New Roman" w:hAnsi="Times New Roman" w:cs="Times New Roman"/>
          <w:b/>
          <w:sz w:val="22"/>
          <w:szCs w:val="22"/>
        </w:rPr>
      </w:pPr>
    </w:p>
    <w:p w:rsidR="007C4AB6" w:rsidRDefault="007C4AB6" w:rsidP="007C4AB6">
      <w:pPr>
        <w:pStyle w:val="ListParagraph"/>
        <w:pBdr>
          <w:top w:val="nil"/>
          <w:left w:val="nil"/>
          <w:bottom w:val="nil"/>
          <w:right w:val="nil"/>
          <w:between w:val="nil"/>
        </w:pBdr>
        <w:ind w:left="426"/>
        <w:jc w:val="both"/>
        <w:rPr>
          <w:rFonts w:ascii="Times New Roman" w:hAnsi="Times New Roman" w:cs="Times New Roman"/>
          <w:b/>
          <w:sz w:val="22"/>
          <w:szCs w:val="22"/>
        </w:rPr>
      </w:pPr>
    </w:p>
    <w:p w:rsidR="007C4AB6" w:rsidRDefault="007C4AB6" w:rsidP="007C4AB6">
      <w:pPr>
        <w:pStyle w:val="ListParagraph"/>
        <w:pBdr>
          <w:top w:val="nil"/>
          <w:left w:val="nil"/>
          <w:bottom w:val="nil"/>
          <w:right w:val="nil"/>
          <w:between w:val="nil"/>
        </w:pBdr>
        <w:ind w:left="426"/>
        <w:jc w:val="both"/>
        <w:rPr>
          <w:rFonts w:ascii="Times New Roman" w:hAnsi="Times New Roman" w:cs="Times New Roman"/>
          <w:b/>
          <w:sz w:val="22"/>
          <w:szCs w:val="22"/>
        </w:rPr>
      </w:pPr>
      <w:r w:rsidRPr="009419D0">
        <w:rPr>
          <w:noProof/>
          <w:color w:val="0E101A"/>
          <w:sz w:val="22"/>
          <w:szCs w:val="22"/>
          <w:lang w:eastAsia="en-US"/>
        </w:rPr>
        <w:drawing>
          <wp:inline distT="0" distB="0" distL="0" distR="0" wp14:anchorId="0C7EF007" wp14:editId="7CCB00F3">
            <wp:extent cx="5270500" cy="240978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0500" cy="2409788"/>
                    </a:xfrm>
                    <a:prstGeom prst="rect">
                      <a:avLst/>
                    </a:prstGeom>
                  </pic:spPr>
                </pic:pic>
              </a:graphicData>
            </a:graphic>
          </wp:inline>
        </w:drawing>
      </w:r>
    </w:p>
    <w:p w:rsidR="007C4AB6" w:rsidRPr="007C4AB6" w:rsidRDefault="007C4AB6" w:rsidP="007C4AB6"/>
    <w:p w:rsidR="007C4AB6" w:rsidRPr="007C4AB6" w:rsidRDefault="007C4AB6" w:rsidP="007C4AB6"/>
    <w:p w:rsidR="007C4AB6" w:rsidRDefault="007C4AB6" w:rsidP="007C4AB6">
      <w:pPr>
        <w:jc w:val="center"/>
      </w:pPr>
    </w:p>
    <w:p w:rsidR="007C4AB6" w:rsidRPr="009419D0" w:rsidRDefault="007C4AB6" w:rsidP="007C4AB6">
      <w:pPr>
        <w:pStyle w:val="NormalWeb"/>
        <w:spacing w:before="0" w:beforeAutospacing="0" w:after="0" w:afterAutospacing="0"/>
        <w:ind w:left="66" w:firstLine="501"/>
        <w:jc w:val="center"/>
        <w:rPr>
          <w:sz w:val="22"/>
          <w:szCs w:val="22"/>
        </w:rPr>
      </w:pPr>
      <w:r w:rsidRPr="009419D0">
        <w:rPr>
          <w:sz w:val="22"/>
          <w:szCs w:val="22"/>
        </w:rPr>
        <w:t>Figure 3: Incentives Holders</w:t>
      </w:r>
    </w:p>
    <w:p w:rsidR="007C4AB6" w:rsidRPr="009419D0" w:rsidRDefault="007C4AB6" w:rsidP="007C4AB6">
      <w:pPr>
        <w:pStyle w:val="NormalWeb"/>
        <w:spacing w:before="0" w:beforeAutospacing="0" w:after="0" w:afterAutospacing="0"/>
        <w:ind w:left="66" w:firstLine="501"/>
        <w:jc w:val="center"/>
        <w:rPr>
          <w:i/>
          <w:iCs/>
          <w:sz w:val="22"/>
          <w:szCs w:val="22"/>
        </w:rPr>
      </w:pPr>
      <w:r w:rsidRPr="009419D0">
        <w:rPr>
          <w:i/>
          <w:iCs/>
          <w:sz w:val="22"/>
          <w:szCs w:val="22"/>
        </w:rPr>
        <w:t>Source: Authors based on President Regulation Number 55 Year 2019.</w:t>
      </w:r>
    </w:p>
    <w:p w:rsidR="007C4AB6" w:rsidRDefault="007C4AB6" w:rsidP="007C4AB6">
      <w:pPr>
        <w:tabs>
          <w:tab w:val="left" w:pos="7535"/>
        </w:tabs>
      </w:pPr>
    </w:p>
    <w:p w:rsidR="007C4AB6" w:rsidRDefault="007C4AB6" w:rsidP="007C4AB6">
      <w:pPr>
        <w:tabs>
          <w:tab w:val="left" w:pos="7535"/>
        </w:tabs>
      </w:pPr>
    </w:p>
    <w:p w:rsidR="007C4AB6" w:rsidRPr="007C4AB6" w:rsidRDefault="007C4AB6" w:rsidP="007C4AB6">
      <w:pPr>
        <w:tabs>
          <w:tab w:val="left" w:pos="7535"/>
        </w:tabs>
      </w:pPr>
      <w:bookmarkStart w:id="0" w:name="_GoBack"/>
      <w:bookmarkEnd w:id="0"/>
    </w:p>
    <w:sectPr w:rsidR="007C4AB6" w:rsidRPr="007C4AB6" w:rsidSect="008C147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9B1914"/>
    <w:multiLevelType w:val="multilevel"/>
    <w:tmpl w:val="EB70D22E"/>
    <w:lvl w:ilvl="0">
      <w:start w:val="1"/>
      <w:numFmt w:val="decimal"/>
      <w:lvlText w:val="%1."/>
      <w:lvlJc w:val="left"/>
      <w:pPr>
        <w:ind w:left="720" w:hanging="360"/>
      </w:pPr>
    </w:lvl>
    <w:lvl w:ilvl="1">
      <w:start w:val="1"/>
      <w:numFmt w:val="lowerLetter"/>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AB6"/>
    <w:rsid w:val="007C4AB6"/>
    <w:rsid w:val="008C1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4501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AB6"/>
    <w:rPr>
      <w:rFonts w:ascii="Calibri" w:hAnsi="Calibri" w:cs="Calibri"/>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AB6"/>
    <w:pPr>
      <w:ind w:left="720"/>
      <w:contextualSpacing/>
    </w:pPr>
  </w:style>
  <w:style w:type="paragraph" w:styleId="BalloonText">
    <w:name w:val="Balloon Text"/>
    <w:basedOn w:val="Normal"/>
    <w:link w:val="BalloonTextChar"/>
    <w:uiPriority w:val="99"/>
    <w:semiHidden/>
    <w:unhideWhenUsed/>
    <w:rsid w:val="007C4A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4AB6"/>
    <w:rPr>
      <w:rFonts w:ascii="Lucida Grande" w:hAnsi="Lucida Grande" w:cs="Lucida Grande"/>
      <w:sz w:val="18"/>
      <w:szCs w:val="18"/>
      <w:lang w:eastAsia="en-ID"/>
    </w:rPr>
  </w:style>
  <w:style w:type="paragraph" w:styleId="NormalWeb">
    <w:name w:val="Normal (Web)"/>
    <w:basedOn w:val="Normal"/>
    <w:uiPriority w:val="99"/>
    <w:unhideWhenUsed/>
    <w:rsid w:val="007C4AB6"/>
    <w:pPr>
      <w:spacing w:before="100" w:beforeAutospacing="1" w:after="100" w:afterAutospacing="1"/>
    </w:pPr>
    <w:rPr>
      <w:rFonts w:ascii="Times New Roman" w:eastAsia="Times New Roman" w:hAnsi="Times New Roman" w:cs="Times New Roman"/>
      <w:lang w:val="en-ID"/>
    </w:rPr>
  </w:style>
  <w:style w:type="paragraph" w:customStyle="1" w:styleId="Normie">
    <w:name w:val="Normie"/>
    <w:basedOn w:val="Normal"/>
    <w:uiPriority w:val="99"/>
    <w:qFormat/>
    <w:rsid w:val="007C4AB6"/>
    <w:pPr>
      <w:ind w:left="360"/>
      <w:jc w:val="both"/>
    </w:pPr>
    <w:rPr>
      <w:rFonts w:ascii="Times New Roman" w:eastAsia="Times New Roman" w:hAnsi="Times New Roman" w:cs="Times New Roman"/>
      <w:lang w:val="en-ID" w:eastAsia="en-US"/>
    </w:rPr>
  </w:style>
  <w:style w:type="table" w:customStyle="1" w:styleId="PlainTable21">
    <w:name w:val="Plain Table 21"/>
    <w:basedOn w:val="TableNormal"/>
    <w:uiPriority w:val="99"/>
    <w:rsid w:val="007C4AB6"/>
    <w:rPr>
      <w:rFonts w:ascii="Calibri" w:eastAsia="Calibri" w:hAnsi="Calibri" w:cs="Calibri"/>
      <w:lang w:eastAsia="en-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AB6"/>
    <w:rPr>
      <w:rFonts w:ascii="Calibri" w:hAnsi="Calibri" w:cs="Calibri"/>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AB6"/>
    <w:pPr>
      <w:ind w:left="720"/>
      <w:contextualSpacing/>
    </w:pPr>
  </w:style>
  <w:style w:type="paragraph" w:styleId="BalloonText">
    <w:name w:val="Balloon Text"/>
    <w:basedOn w:val="Normal"/>
    <w:link w:val="BalloonTextChar"/>
    <w:uiPriority w:val="99"/>
    <w:semiHidden/>
    <w:unhideWhenUsed/>
    <w:rsid w:val="007C4A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4AB6"/>
    <w:rPr>
      <w:rFonts w:ascii="Lucida Grande" w:hAnsi="Lucida Grande" w:cs="Lucida Grande"/>
      <w:sz w:val="18"/>
      <w:szCs w:val="18"/>
      <w:lang w:eastAsia="en-ID"/>
    </w:rPr>
  </w:style>
  <w:style w:type="paragraph" w:styleId="NormalWeb">
    <w:name w:val="Normal (Web)"/>
    <w:basedOn w:val="Normal"/>
    <w:uiPriority w:val="99"/>
    <w:unhideWhenUsed/>
    <w:rsid w:val="007C4AB6"/>
    <w:pPr>
      <w:spacing w:before="100" w:beforeAutospacing="1" w:after="100" w:afterAutospacing="1"/>
    </w:pPr>
    <w:rPr>
      <w:rFonts w:ascii="Times New Roman" w:eastAsia="Times New Roman" w:hAnsi="Times New Roman" w:cs="Times New Roman"/>
      <w:lang w:val="en-ID"/>
    </w:rPr>
  </w:style>
  <w:style w:type="paragraph" w:customStyle="1" w:styleId="Normie">
    <w:name w:val="Normie"/>
    <w:basedOn w:val="Normal"/>
    <w:uiPriority w:val="99"/>
    <w:qFormat/>
    <w:rsid w:val="007C4AB6"/>
    <w:pPr>
      <w:ind w:left="360"/>
      <w:jc w:val="both"/>
    </w:pPr>
    <w:rPr>
      <w:rFonts w:ascii="Times New Roman" w:eastAsia="Times New Roman" w:hAnsi="Times New Roman" w:cs="Times New Roman"/>
      <w:lang w:val="en-ID" w:eastAsia="en-US"/>
    </w:rPr>
  </w:style>
  <w:style w:type="table" w:customStyle="1" w:styleId="PlainTable21">
    <w:name w:val="Plain Table 21"/>
    <w:basedOn w:val="TableNormal"/>
    <w:uiPriority w:val="99"/>
    <w:rsid w:val="007C4AB6"/>
    <w:rPr>
      <w:rFonts w:ascii="Calibri" w:eastAsia="Calibri" w:hAnsi="Calibri" w:cs="Calibri"/>
      <w:lang w:eastAsia="en-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diagramData" Target="diagrams/data1.xml"/><Relationship Id="rId7" Type="http://schemas.openxmlformats.org/officeDocument/2006/relationships/diagramLayout" Target="diagrams/layout1.xml"/><Relationship Id="rId8" Type="http://schemas.openxmlformats.org/officeDocument/2006/relationships/diagramQuickStyle" Target="diagrams/quickStyle1.xml"/><Relationship Id="rId9" Type="http://schemas.openxmlformats.org/officeDocument/2006/relationships/diagramColors" Target="diagrams/colors1.xml"/><Relationship Id="rId10"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33E8EE-39CD-4456-A33A-0E99BF173863}" type="doc">
      <dgm:prSet loTypeId="urn:microsoft.com/office/officeart/2005/8/layout/hierarchy6" loCatId="hierarchy" qsTypeId="urn:microsoft.com/office/officeart/2005/8/quickstyle/simple4" qsCatId="simple" csTypeId="urn:microsoft.com/office/officeart/2005/8/colors/colorful2" csCatId="colorful" phldr="1"/>
      <dgm:spPr/>
      <dgm:t>
        <a:bodyPr/>
        <a:lstStyle/>
        <a:p>
          <a:endParaRPr lang="en-ID"/>
        </a:p>
      </dgm:t>
    </dgm:pt>
    <dgm:pt modelId="{C03077C0-33A4-46F7-935A-F112CF0A8FEB}">
      <dgm:prSet phldrT="[Text]" custT="1"/>
      <dgm:spPr/>
      <dgm:t>
        <a:bodyPr/>
        <a:lstStyle/>
        <a:p>
          <a:pPr algn="ctr"/>
          <a:r>
            <a:rPr lang="en-US" sz="1200"/>
            <a:t>Law 30/2007 No. concerning Energy </a:t>
          </a:r>
          <a:endParaRPr lang="en-ID" sz="1200"/>
        </a:p>
      </dgm:t>
    </dgm:pt>
    <dgm:pt modelId="{FFBB3D40-B49B-4342-A8A8-B6C9A0D61C81}" type="parTrans" cxnId="{57A1DA63-4B72-4D27-A777-6549FFCBAD3F}">
      <dgm:prSet/>
      <dgm:spPr/>
      <dgm:t>
        <a:bodyPr/>
        <a:lstStyle/>
        <a:p>
          <a:pPr algn="ctr"/>
          <a:endParaRPr lang="en-ID" sz="3600"/>
        </a:p>
      </dgm:t>
    </dgm:pt>
    <dgm:pt modelId="{0D6ADBC7-73F3-432D-A556-D0F261CEEC62}" type="sibTrans" cxnId="{57A1DA63-4B72-4D27-A777-6549FFCBAD3F}">
      <dgm:prSet/>
      <dgm:spPr/>
      <dgm:t>
        <a:bodyPr/>
        <a:lstStyle/>
        <a:p>
          <a:pPr algn="ctr"/>
          <a:endParaRPr lang="en-ID" sz="3600"/>
        </a:p>
      </dgm:t>
    </dgm:pt>
    <dgm:pt modelId="{B29ACB9E-A0EF-4E61-9D8C-75378F781713}">
      <dgm:prSet phldrT="[Text]" custT="1"/>
      <dgm:spPr/>
      <dgm:t>
        <a:bodyPr/>
        <a:lstStyle/>
        <a:p>
          <a:pPr algn="ctr"/>
          <a:r>
            <a:rPr lang="en-US" sz="1100"/>
            <a:t>Gov. Regulation No. 79/2014 concerning National Energy Policy </a:t>
          </a:r>
          <a:endParaRPr lang="en-ID" sz="1100"/>
        </a:p>
      </dgm:t>
    </dgm:pt>
    <dgm:pt modelId="{E07580EE-FFAF-498A-8024-68A277E6E035}" type="parTrans" cxnId="{BBC6B0AC-4E78-4E11-9C5B-9861F2C47069}">
      <dgm:prSet/>
      <dgm:spPr/>
      <dgm:t>
        <a:bodyPr/>
        <a:lstStyle/>
        <a:p>
          <a:pPr algn="ctr"/>
          <a:endParaRPr lang="en-ID" sz="3600"/>
        </a:p>
      </dgm:t>
    </dgm:pt>
    <dgm:pt modelId="{6312D2AB-AB7B-4EEB-AD54-48DF792544D5}" type="sibTrans" cxnId="{BBC6B0AC-4E78-4E11-9C5B-9861F2C47069}">
      <dgm:prSet/>
      <dgm:spPr/>
      <dgm:t>
        <a:bodyPr/>
        <a:lstStyle/>
        <a:p>
          <a:pPr algn="ctr"/>
          <a:endParaRPr lang="en-ID" sz="3600"/>
        </a:p>
      </dgm:t>
    </dgm:pt>
    <dgm:pt modelId="{F573439A-B539-4C00-9556-E48C84BEBBEF}">
      <dgm:prSet phldrT="[Text]" custT="1"/>
      <dgm:spPr/>
      <dgm:t>
        <a:bodyPr/>
        <a:lstStyle/>
        <a:p>
          <a:pPr algn="ctr"/>
          <a:endParaRPr lang="en-ID" sz="1200"/>
        </a:p>
      </dgm:t>
    </dgm:pt>
    <dgm:pt modelId="{451B084E-4E78-4A78-9816-6E28C8C01F54}" type="parTrans" cxnId="{91D7C9A1-039A-4D68-9E6E-A9CF3ED5E361}">
      <dgm:prSet/>
      <dgm:spPr/>
      <dgm:t>
        <a:bodyPr/>
        <a:lstStyle/>
        <a:p>
          <a:pPr algn="ctr"/>
          <a:endParaRPr lang="en-ID" sz="3600"/>
        </a:p>
      </dgm:t>
    </dgm:pt>
    <dgm:pt modelId="{9BF8B9A7-3148-4AFF-B74B-14BCCC7CE6B3}" type="sibTrans" cxnId="{91D7C9A1-039A-4D68-9E6E-A9CF3ED5E361}">
      <dgm:prSet/>
      <dgm:spPr/>
      <dgm:t>
        <a:bodyPr/>
        <a:lstStyle/>
        <a:p>
          <a:pPr algn="ctr"/>
          <a:endParaRPr lang="en-ID" sz="3600"/>
        </a:p>
      </dgm:t>
    </dgm:pt>
    <dgm:pt modelId="{25FE5882-DB37-479B-A899-DC5C07EC837B}">
      <dgm:prSet phldrT="[Text]" custT="1"/>
      <dgm:spPr/>
      <dgm:t>
        <a:bodyPr/>
        <a:lstStyle/>
        <a:p>
          <a:pPr algn="ctr"/>
          <a:r>
            <a:rPr lang="en-US" sz="1100"/>
            <a:t>Gov. Regulation No. 70/2009 on Energy Conservation </a:t>
          </a:r>
          <a:endParaRPr lang="en-ID" sz="1100"/>
        </a:p>
      </dgm:t>
    </dgm:pt>
    <dgm:pt modelId="{8CFDD64B-E501-4BE0-A500-FF00CEB3C2BC}" type="parTrans" cxnId="{703BC16E-F769-4D38-8A39-9C20DA9751C0}">
      <dgm:prSet/>
      <dgm:spPr/>
      <dgm:t>
        <a:bodyPr/>
        <a:lstStyle/>
        <a:p>
          <a:pPr algn="ctr"/>
          <a:endParaRPr lang="en-ID" sz="3600"/>
        </a:p>
      </dgm:t>
    </dgm:pt>
    <dgm:pt modelId="{98088CE3-E759-4B6F-9290-76EB7B419278}" type="sibTrans" cxnId="{703BC16E-F769-4D38-8A39-9C20DA9751C0}">
      <dgm:prSet/>
      <dgm:spPr/>
      <dgm:t>
        <a:bodyPr/>
        <a:lstStyle/>
        <a:p>
          <a:pPr algn="ctr"/>
          <a:endParaRPr lang="en-ID" sz="3600"/>
        </a:p>
      </dgm:t>
    </dgm:pt>
    <dgm:pt modelId="{9751F204-649D-4351-BA08-FCD9F81538C0}">
      <dgm:prSet phldrT="[Text]" custT="1"/>
      <dgm:spPr/>
      <dgm:t>
        <a:bodyPr/>
        <a:lstStyle/>
        <a:p>
          <a:pPr algn="ctr"/>
          <a:r>
            <a:rPr lang="en-US" sz="1050"/>
            <a:t>President Regulation No. 55 of 2019 concerning the acceleration of BEV</a:t>
          </a:r>
          <a:endParaRPr lang="en-ID" sz="1050"/>
        </a:p>
      </dgm:t>
    </dgm:pt>
    <dgm:pt modelId="{7B7BD2D7-5F8A-4916-9F87-C284D49614DA}" type="parTrans" cxnId="{9FD4AC66-D103-4395-A928-7F8437776810}">
      <dgm:prSet/>
      <dgm:spPr/>
      <dgm:t>
        <a:bodyPr/>
        <a:lstStyle/>
        <a:p>
          <a:pPr algn="ctr"/>
          <a:endParaRPr lang="en-ID" sz="3600"/>
        </a:p>
      </dgm:t>
    </dgm:pt>
    <dgm:pt modelId="{E298E6F0-BF40-4486-B591-949C9CA7F6B7}" type="sibTrans" cxnId="{9FD4AC66-D103-4395-A928-7F8437776810}">
      <dgm:prSet/>
      <dgm:spPr/>
      <dgm:t>
        <a:bodyPr/>
        <a:lstStyle/>
        <a:p>
          <a:pPr algn="ctr"/>
          <a:endParaRPr lang="en-ID" sz="3600"/>
        </a:p>
      </dgm:t>
    </dgm:pt>
    <dgm:pt modelId="{410BE67F-2C89-421B-A8EE-53CB02D21B63}">
      <dgm:prSet phldrT="[Text]" custT="1"/>
      <dgm:spPr/>
      <dgm:t>
        <a:bodyPr/>
        <a:lstStyle/>
        <a:p>
          <a:pPr algn="ctr"/>
          <a:r>
            <a:rPr lang="en-ID" sz="1200"/>
            <a:t>Insentives Scheme</a:t>
          </a:r>
        </a:p>
      </dgm:t>
    </dgm:pt>
    <dgm:pt modelId="{BCCF08F3-6F5D-4820-8845-13C451F29DAE}" type="parTrans" cxnId="{F5AF522B-5338-4BB9-A18A-4FA9F6ABE166}">
      <dgm:prSet/>
      <dgm:spPr/>
      <dgm:t>
        <a:bodyPr/>
        <a:lstStyle/>
        <a:p>
          <a:pPr algn="ctr"/>
          <a:endParaRPr lang="en-ID" sz="3600"/>
        </a:p>
      </dgm:t>
    </dgm:pt>
    <dgm:pt modelId="{281B6D67-1C7B-429D-B851-3A6E67F9FE74}" type="sibTrans" cxnId="{F5AF522B-5338-4BB9-A18A-4FA9F6ABE166}">
      <dgm:prSet/>
      <dgm:spPr/>
      <dgm:t>
        <a:bodyPr/>
        <a:lstStyle/>
        <a:p>
          <a:pPr algn="ctr"/>
          <a:endParaRPr lang="en-ID" sz="3600"/>
        </a:p>
      </dgm:t>
    </dgm:pt>
    <dgm:pt modelId="{C9B6E430-6A65-488B-8A9D-0AB67A7CB494}" type="pres">
      <dgm:prSet presAssocID="{8733E8EE-39CD-4456-A33A-0E99BF173863}" presName="mainComposite" presStyleCnt="0">
        <dgm:presLayoutVars>
          <dgm:chPref val="1"/>
          <dgm:dir/>
          <dgm:animOne val="branch"/>
          <dgm:animLvl val="lvl"/>
          <dgm:resizeHandles val="exact"/>
        </dgm:presLayoutVars>
      </dgm:prSet>
      <dgm:spPr/>
      <dgm:t>
        <a:bodyPr/>
        <a:lstStyle/>
        <a:p>
          <a:endParaRPr lang="en-US"/>
        </a:p>
      </dgm:t>
    </dgm:pt>
    <dgm:pt modelId="{118355CA-D1C5-4A3E-967C-C0DAD66DAFF5}" type="pres">
      <dgm:prSet presAssocID="{8733E8EE-39CD-4456-A33A-0E99BF173863}" presName="hierFlow" presStyleCnt="0"/>
      <dgm:spPr/>
    </dgm:pt>
    <dgm:pt modelId="{F468E3C8-743D-4DB1-A939-D66BC6252711}" type="pres">
      <dgm:prSet presAssocID="{8733E8EE-39CD-4456-A33A-0E99BF173863}" presName="hierChild1" presStyleCnt="0">
        <dgm:presLayoutVars>
          <dgm:chPref val="1"/>
          <dgm:animOne val="branch"/>
          <dgm:animLvl val="lvl"/>
        </dgm:presLayoutVars>
      </dgm:prSet>
      <dgm:spPr/>
    </dgm:pt>
    <dgm:pt modelId="{A5131D96-DCF6-4A3B-8A6F-446C7253CC4D}" type="pres">
      <dgm:prSet presAssocID="{C03077C0-33A4-46F7-935A-F112CF0A8FEB}" presName="Name14" presStyleCnt="0"/>
      <dgm:spPr/>
    </dgm:pt>
    <dgm:pt modelId="{AE181D1F-F77C-460C-8DA7-071749F41768}" type="pres">
      <dgm:prSet presAssocID="{C03077C0-33A4-46F7-935A-F112CF0A8FEB}" presName="level1Shape" presStyleLbl="node0" presStyleIdx="0" presStyleCnt="1" custScaleX="185781">
        <dgm:presLayoutVars>
          <dgm:chPref val="3"/>
        </dgm:presLayoutVars>
      </dgm:prSet>
      <dgm:spPr/>
      <dgm:t>
        <a:bodyPr/>
        <a:lstStyle/>
        <a:p>
          <a:endParaRPr lang="en-US"/>
        </a:p>
      </dgm:t>
    </dgm:pt>
    <dgm:pt modelId="{50516F37-117D-48ED-ACDE-575ADB8F4D3C}" type="pres">
      <dgm:prSet presAssocID="{C03077C0-33A4-46F7-935A-F112CF0A8FEB}" presName="hierChild2" presStyleCnt="0"/>
      <dgm:spPr/>
    </dgm:pt>
    <dgm:pt modelId="{61A6124E-4E3E-4ED8-8F07-4EB5F4423F53}" type="pres">
      <dgm:prSet presAssocID="{E07580EE-FFAF-498A-8024-68A277E6E035}" presName="Name19" presStyleLbl="parChTrans1D2" presStyleIdx="0" presStyleCnt="2"/>
      <dgm:spPr/>
      <dgm:t>
        <a:bodyPr/>
        <a:lstStyle/>
        <a:p>
          <a:endParaRPr lang="en-US"/>
        </a:p>
      </dgm:t>
    </dgm:pt>
    <dgm:pt modelId="{E95873C4-5788-4326-98AF-83D741650FA8}" type="pres">
      <dgm:prSet presAssocID="{B29ACB9E-A0EF-4E61-9D8C-75378F781713}" presName="Name21" presStyleCnt="0"/>
      <dgm:spPr/>
    </dgm:pt>
    <dgm:pt modelId="{BD02593C-7A9B-4836-993B-217C9FF73AAC}" type="pres">
      <dgm:prSet presAssocID="{B29ACB9E-A0EF-4E61-9D8C-75378F781713}" presName="level2Shape" presStyleLbl="node2" presStyleIdx="0" presStyleCnt="2" custScaleX="161051"/>
      <dgm:spPr/>
      <dgm:t>
        <a:bodyPr/>
        <a:lstStyle/>
        <a:p>
          <a:endParaRPr lang="en-US"/>
        </a:p>
      </dgm:t>
    </dgm:pt>
    <dgm:pt modelId="{CF820F43-C855-41AB-A469-568E3CA176AA}" type="pres">
      <dgm:prSet presAssocID="{B29ACB9E-A0EF-4E61-9D8C-75378F781713}" presName="hierChild3" presStyleCnt="0"/>
      <dgm:spPr/>
    </dgm:pt>
    <dgm:pt modelId="{4C91DB2A-4ABA-41F4-BF23-F5942444C39F}" type="pres">
      <dgm:prSet presAssocID="{451B084E-4E78-4A78-9816-6E28C8C01F54}" presName="Name19" presStyleLbl="parChTrans1D3" presStyleIdx="0" presStyleCnt="2"/>
      <dgm:spPr/>
      <dgm:t>
        <a:bodyPr/>
        <a:lstStyle/>
        <a:p>
          <a:endParaRPr lang="en-US"/>
        </a:p>
      </dgm:t>
    </dgm:pt>
    <dgm:pt modelId="{AD495EAC-2310-4F11-8CD4-77E6F48144A8}" type="pres">
      <dgm:prSet presAssocID="{F573439A-B539-4C00-9556-E48C84BEBBEF}" presName="Name21" presStyleCnt="0"/>
      <dgm:spPr/>
    </dgm:pt>
    <dgm:pt modelId="{D91A95D7-C167-4160-AFD9-DBA34FE31A57}" type="pres">
      <dgm:prSet presAssocID="{F573439A-B539-4C00-9556-E48C84BEBBEF}" presName="level2Shape" presStyleLbl="node3" presStyleIdx="0" presStyleCnt="2" custScaleX="146411" custLinFactX="12" custLinFactNeighborX="100000" custLinFactNeighborY="5142"/>
      <dgm:spPr/>
      <dgm:t>
        <a:bodyPr/>
        <a:lstStyle/>
        <a:p>
          <a:endParaRPr lang="en-US"/>
        </a:p>
      </dgm:t>
    </dgm:pt>
    <dgm:pt modelId="{66E16B2A-D1A4-4130-8432-429D4B86967D}" type="pres">
      <dgm:prSet presAssocID="{F573439A-B539-4C00-9556-E48C84BEBBEF}" presName="hierChild3" presStyleCnt="0"/>
      <dgm:spPr/>
    </dgm:pt>
    <dgm:pt modelId="{AF42A5EC-43A1-4D7C-9A52-FFD6E9F33074}" type="pres">
      <dgm:prSet presAssocID="{8CFDD64B-E501-4BE0-A500-FF00CEB3C2BC}" presName="Name19" presStyleLbl="parChTrans1D2" presStyleIdx="1" presStyleCnt="2"/>
      <dgm:spPr/>
      <dgm:t>
        <a:bodyPr/>
        <a:lstStyle/>
        <a:p>
          <a:endParaRPr lang="en-US"/>
        </a:p>
      </dgm:t>
    </dgm:pt>
    <dgm:pt modelId="{A98D47EF-7AB4-4F29-93ED-CB85BA344E62}" type="pres">
      <dgm:prSet presAssocID="{25FE5882-DB37-479B-A899-DC5C07EC837B}" presName="Name21" presStyleCnt="0"/>
      <dgm:spPr/>
    </dgm:pt>
    <dgm:pt modelId="{9598964B-2CF1-40A4-9213-8052686DA7F8}" type="pres">
      <dgm:prSet presAssocID="{25FE5882-DB37-479B-A899-DC5C07EC837B}" presName="level2Shape" presStyleLbl="node2" presStyleIdx="1" presStyleCnt="2" custScaleX="161051"/>
      <dgm:spPr/>
      <dgm:t>
        <a:bodyPr/>
        <a:lstStyle/>
        <a:p>
          <a:endParaRPr lang="en-US"/>
        </a:p>
      </dgm:t>
    </dgm:pt>
    <dgm:pt modelId="{1CEFC43B-D171-45EB-961C-90A815EE0AFE}" type="pres">
      <dgm:prSet presAssocID="{25FE5882-DB37-479B-A899-DC5C07EC837B}" presName="hierChild3" presStyleCnt="0"/>
      <dgm:spPr/>
    </dgm:pt>
    <dgm:pt modelId="{A7A3778F-39EB-4E37-8728-243060FDA7A7}" type="pres">
      <dgm:prSet presAssocID="{7B7BD2D7-5F8A-4916-9F87-C284D49614DA}" presName="Name19" presStyleLbl="parChTrans1D3" presStyleIdx="1" presStyleCnt="2"/>
      <dgm:spPr/>
      <dgm:t>
        <a:bodyPr/>
        <a:lstStyle/>
        <a:p>
          <a:endParaRPr lang="en-US"/>
        </a:p>
      </dgm:t>
    </dgm:pt>
    <dgm:pt modelId="{79774978-C486-4CB4-ADAE-1EBC7EDBFE7D}" type="pres">
      <dgm:prSet presAssocID="{9751F204-649D-4351-BA08-FCD9F81538C0}" presName="Name21" presStyleCnt="0"/>
      <dgm:spPr/>
    </dgm:pt>
    <dgm:pt modelId="{A10C7A54-5BF4-4859-B0BD-96F9343CF981}" type="pres">
      <dgm:prSet presAssocID="{9751F204-649D-4351-BA08-FCD9F81538C0}" presName="level2Shape" presStyleLbl="node3" presStyleIdx="1" presStyleCnt="2" custScaleX="146410" custLinFactNeighborX="-90119" custLinFactNeighborY="2638"/>
      <dgm:spPr/>
      <dgm:t>
        <a:bodyPr/>
        <a:lstStyle/>
        <a:p>
          <a:endParaRPr lang="en-US"/>
        </a:p>
      </dgm:t>
    </dgm:pt>
    <dgm:pt modelId="{F9F3AA66-FB93-4254-A034-15E63D8EC5F0}" type="pres">
      <dgm:prSet presAssocID="{9751F204-649D-4351-BA08-FCD9F81538C0}" presName="hierChild3" presStyleCnt="0"/>
      <dgm:spPr/>
    </dgm:pt>
    <dgm:pt modelId="{9CD0604E-4E7D-4AA0-9157-C63A89534700}" type="pres">
      <dgm:prSet presAssocID="{BCCF08F3-6F5D-4820-8845-13C451F29DAE}" presName="Name19" presStyleLbl="parChTrans1D4" presStyleIdx="0" presStyleCnt="1"/>
      <dgm:spPr/>
      <dgm:t>
        <a:bodyPr/>
        <a:lstStyle/>
        <a:p>
          <a:endParaRPr lang="en-US"/>
        </a:p>
      </dgm:t>
    </dgm:pt>
    <dgm:pt modelId="{B470D178-FE9C-460E-826D-F4532DBBABFC}" type="pres">
      <dgm:prSet presAssocID="{410BE67F-2C89-421B-A8EE-53CB02D21B63}" presName="Name21" presStyleCnt="0"/>
      <dgm:spPr/>
    </dgm:pt>
    <dgm:pt modelId="{8CB0D3A3-D426-4D3F-B430-85602DC4C5FD}" type="pres">
      <dgm:prSet presAssocID="{410BE67F-2C89-421B-A8EE-53CB02D21B63}" presName="level2Shape" presStyleLbl="node4" presStyleIdx="0" presStyleCnt="1" custScaleX="121000" custLinFactNeighborX="-90083" custLinFactNeighborY="8"/>
      <dgm:spPr/>
      <dgm:t>
        <a:bodyPr/>
        <a:lstStyle/>
        <a:p>
          <a:endParaRPr lang="en-US"/>
        </a:p>
      </dgm:t>
    </dgm:pt>
    <dgm:pt modelId="{9B9756FC-C66E-415F-B907-F1EB6A50B005}" type="pres">
      <dgm:prSet presAssocID="{410BE67F-2C89-421B-A8EE-53CB02D21B63}" presName="hierChild3" presStyleCnt="0"/>
      <dgm:spPr/>
    </dgm:pt>
    <dgm:pt modelId="{AFF5F6C8-5669-40B4-9326-59D9E011AF9B}" type="pres">
      <dgm:prSet presAssocID="{8733E8EE-39CD-4456-A33A-0E99BF173863}" presName="bgShapesFlow" presStyleCnt="0"/>
      <dgm:spPr/>
    </dgm:pt>
  </dgm:ptLst>
  <dgm:cxnLst>
    <dgm:cxn modelId="{72A333A6-2A11-314E-8702-33DF64286D18}" type="presOf" srcId="{C03077C0-33A4-46F7-935A-F112CF0A8FEB}" destId="{AE181D1F-F77C-460C-8DA7-071749F41768}" srcOrd="0" destOrd="0" presId="urn:microsoft.com/office/officeart/2005/8/layout/hierarchy6"/>
    <dgm:cxn modelId="{CB4B715D-FD50-9946-B0EA-CB35A2E3B5F5}" type="presOf" srcId="{BCCF08F3-6F5D-4820-8845-13C451F29DAE}" destId="{9CD0604E-4E7D-4AA0-9157-C63A89534700}" srcOrd="0" destOrd="0" presId="urn:microsoft.com/office/officeart/2005/8/layout/hierarchy6"/>
    <dgm:cxn modelId="{91D7C9A1-039A-4D68-9E6E-A9CF3ED5E361}" srcId="{B29ACB9E-A0EF-4E61-9D8C-75378F781713}" destId="{F573439A-B539-4C00-9556-E48C84BEBBEF}" srcOrd="0" destOrd="0" parTransId="{451B084E-4E78-4A78-9816-6E28C8C01F54}" sibTransId="{9BF8B9A7-3148-4AFF-B74B-14BCCC7CE6B3}"/>
    <dgm:cxn modelId="{BBC6B0AC-4E78-4E11-9C5B-9861F2C47069}" srcId="{C03077C0-33A4-46F7-935A-F112CF0A8FEB}" destId="{B29ACB9E-A0EF-4E61-9D8C-75378F781713}" srcOrd="0" destOrd="0" parTransId="{E07580EE-FFAF-498A-8024-68A277E6E035}" sibTransId="{6312D2AB-AB7B-4EEB-AD54-48DF792544D5}"/>
    <dgm:cxn modelId="{9FD4AC66-D103-4395-A928-7F8437776810}" srcId="{25FE5882-DB37-479B-A899-DC5C07EC837B}" destId="{9751F204-649D-4351-BA08-FCD9F81538C0}" srcOrd="0" destOrd="0" parTransId="{7B7BD2D7-5F8A-4916-9F87-C284D49614DA}" sibTransId="{E298E6F0-BF40-4486-B591-949C9CA7F6B7}"/>
    <dgm:cxn modelId="{6A90B48A-DE7D-1C45-875C-36FE18EC89B3}" type="presOf" srcId="{E07580EE-FFAF-498A-8024-68A277E6E035}" destId="{61A6124E-4E3E-4ED8-8F07-4EB5F4423F53}" srcOrd="0" destOrd="0" presId="urn:microsoft.com/office/officeart/2005/8/layout/hierarchy6"/>
    <dgm:cxn modelId="{16A0448D-1927-4847-A14A-990C49872E63}" type="presOf" srcId="{9751F204-649D-4351-BA08-FCD9F81538C0}" destId="{A10C7A54-5BF4-4859-B0BD-96F9343CF981}" srcOrd="0" destOrd="0" presId="urn:microsoft.com/office/officeart/2005/8/layout/hierarchy6"/>
    <dgm:cxn modelId="{33093BAE-73AF-D141-A045-CC9D38A28E5D}" type="presOf" srcId="{7B7BD2D7-5F8A-4916-9F87-C284D49614DA}" destId="{A7A3778F-39EB-4E37-8728-243060FDA7A7}" srcOrd="0" destOrd="0" presId="urn:microsoft.com/office/officeart/2005/8/layout/hierarchy6"/>
    <dgm:cxn modelId="{F5AF522B-5338-4BB9-A18A-4FA9F6ABE166}" srcId="{9751F204-649D-4351-BA08-FCD9F81538C0}" destId="{410BE67F-2C89-421B-A8EE-53CB02D21B63}" srcOrd="0" destOrd="0" parTransId="{BCCF08F3-6F5D-4820-8845-13C451F29DAE}" sibTransId="{281B6D67-1C7B-429D-B851-3A6E67F9FE74}"/>
    <dgm:cxn modelId="{81D6B0AD-6015-4C4E-8AFA-E574D7C796DE}" type="presOf" srcId="{B29ACB9E-A0EF-4E61-9D8C-75378F781713}" destId="{BD02593C-7A9B-4836-993B-217C9FF73AAC}" srcOrd="0" destOrd="0" presId="urn:microsoft.com/office/officeart/2005/8/layout/hierarchy6"/>
    <dgm:cxn modelId="{703BC16E-F769-4D38-8A39-9C20DA9751C0}" srcId="{C03077C0-33A4-46F7-935A-F112CF0A8FEB}" destId="{25FE5882-DB37-479B-A899-DC5C07EC837B}" srcOrd="1" destOrd="0" parTransId="{8CFDD64B-E501-4BE0-A500-FF00CEB3C2BC}" sibTransId="{98088CE3-E759-4B6F-9290-76EB7B419278}"/>
    <dgm:cxn modelId="{0B73D9EA-C90E-E34D-873E-1ED5D5079B35}" type="presOf" srcId="{F573439A-B539-4C00-9556-E48C84BEBBEF}" destId="{D91A95D7-C167-4160-AFD9-DBA34FE31A57}" srcOrd="0" destOrd="0" presId="urn:microsoft.com/office/officeart/2005/8/layout/hierarchy6"/>
    <dgm:cxn modelId="{02ED9DB6-38DC-E545-B44B-E66B353ED743}" type="presOf" srcId="{8CFDD64B-E501-4BE0-A500-FF00CEB3C2BC}" destId="{AF42A5EC-43A1-4D7C-9A52-FFD6E9F33074}" srcOrd="0" destOrd="0" presId="urn:microsoft.com/office/officeart/2005/8/layout/hierarchy6"/>
    <dgm:cxn modelId="{5E3B198D-8302-244D-A56A-D0E3E7909111}" type="presOf" srcId="{25FE5882-DB37-479B-A899-DC5C07EC837B}" destId="{9598964B-2CF1-40A4-9213-8052686DA7F8}" srcOrd="0" destOrd="0" presId="urn:microsoft.com/office/officeart/2005/8/layout/hierarchy6"/>
    <dgm:cxn modelId="{E9950B30-5756-4C4B-8604-ABB068D59311}" type="presOf" srcId="{8733E8EE-39CD-4456-A33A-0E99BF173863}" destId="{C9B6E430-6A65-488B-8A9D-0AB67A7CB494}" srcOrd="0" destOrd="0" presId="urn:microsoft.com/office/officeart/2005/8/layout/hierarchy6"/>
    <dgm:cxn modelId="{91D839E3-90D5-DC44-ABB3-591B2D98515E}" type="presOf" srcId="{451B084E-4E78-4A78-9816-6E28C8C01F54}" destId="{4C91DB2A-4ABA-41F4-BF23-F5942444C39F}" srcOrd="0" destOrd="0" presId="urn:microsoft.com/office/officeart/2005/8/layout/hierarchy6"/>
    <dgm:cxn modelId="{57A1DA63-4B72-4D27-A777-6549FFCBAD3F}" srcId="{8733E8EE-39CD-4456-A33A-0E99BF173863}" destId="{C03077C0-33A4-46F7-935A-F112CF0A8FEB}" srcOrd="0" destOrd="0" parTransId="{FFBB3D40-B49B-4342-A8A8-B6C9A0D61C81}" sibTransId="{0D6ADBC7-73F3-432D-A556-D0F261CEEC62}"/>
    <dgm:cxn modelId="{BA0362D2-719E-CD41-ADBB-561A06B2D97A}" type="presOf" srcId="{410BE67F-2C89-421B-A8EE-53CB02D21B63}" destId="{8CB0D3A3-D426-4D3F-B430-85602DC4C5FD}" srcOrd="0" destOrd="0" presId="urn:microsoft.com/office/officeart/2005/8/layout/hierarchy6"/>
    <dgm:cxn modelId="{92AD0F79-ECA1-3E4E-81EA-9E3A7DE747F9}" type="presParOf" srcId="{C9B6E430-6A65-488B-8A9D-0AB67A7CB494}" destId="{118355CA-D1C5-4A3E-967C-C0DAD66DAFF5}" srcOrd="0" destOrd="0" presId="urn:microsoft.com/office/officeart/2005/8/layout/hierarchy6"/>
    <dgm:cxn modelId="{BB36E720-4735-7C45-BDF5-45D8EE8D1DE4}" type="presParOf" srcId="{118355CA-D1C5-4A3E-967C-C0DAD66DAFF5}" destId="{F468E3C8-743D-4DB1-A939-D66BC6252711}" srcOrd="0" destOrd="0" presId="urn:microsoft.com/office/officeart/2005/8/layout/hierarchy6"/>
    <dgm:cxn modelId="{66474995-6218-084C-8E6B-FA5F8032F3C9}" type="presParOf" srcId="{F468E3C8-743D-4DB1-A939-D66BC6252711}" destId="{A5131D96-DCF6-4A3B-8A6F-446C7253CC4D}" srcOrd="0" destOrd="0" presId="urn:microsoft.com/office/officeart/2005/8/layout/hierarchy6"/>
    <dgm:cxn modelId="{A2EF5D37-285B-1148-A500-0A8CFDC0BF3B}" type="presParOf" srcId="{A5131D96-DCF6-4A3B-8A6F-446C7253CC4D}" destId="{AE181D1F-F77C-460C-8DA7-071749F41768}" srcOrd="0" destOrd="0" presId="urn:microsoft.com/office/officeart/2005/8/layout/hierarchy6"/>
    <dgm:cxn modelId="{BB3C223A-2540-594C-BC5D-245200FD6067}" type="presParOf" srcId="{A5131D96-DCF6-4A3B-8A6F-446C7253CC4D}" destId="{50516F37-117D-48ED-ACDE-575ADB8F4D3C}" srcOrd="1" destOrd="0" presId="urn:microsoft.com/office/officeart/2005/8/layout/hierarchy6"/>
    <dgm:cxn modelId="{AA127C56-90FC-2349-851B-F4917F2CFD8F}" type="presParOf" srcId="{50516F37-117D-48ED-ACDE-575ADB8F4D3C}" destId="{61A6124E-4E3E-4ED8-8F07-4EB5F4423F53}" srcOrd="0" destOrd="0" presId="urn:microsoft.com/office/officeart/2005/8/layout/hierarchy6"/>
    <dgm:cxn modelId="{6A421F5D-13B3-4E4A-A2A8-A1CB22CB1AB4}" type="presParOf" srcId="{50516F37-117D-48ED-ACDE-575ADB8F4D3C}" destId="{E95873C4-5788-4326-98AF-83D741650FA8}" srcOrd="1" destOrd="0" presId="urn:microsoft.com/office/officeart/2005/8/layout/hierarchy6"/>
    <dgm:cxn modelId="{98D58644-C2FD-FD48-B7B0-6B2D8B08971B}" type="presParOf" srcId="{E95873C4-5788-4326-98AF-83D741650FA8}" destId="{BD02593C-7A9B-4836-993B-217C9FF73AAC}" srcOrd="0" destOrd="0" presId="urn:microsoft.com/office/officeart/2005/8/layout/hierarchy6"/>
    <dgm:cxn modelId="{0AE34631-C0E4-1347-8F6B-3C378FB67604}" type="presParOf" srcId="{E95873C4-5788-4326-98AF-83D741650FA8}" destId="{CF820F43-C855-41AB-A469-568E3CA176AA}" srcOrd="1" destOrd="0" presId="urn:microsoft.com/office/officeart/2005/8/layout/hierarchy6"/>
    <dgm:cxn modelId="{845E1996-E80B-4D4F-B36F-3672BB1E6B10}" type="presParOf" srcId="{CF820F43-C855-41AB-A469-568E3CA176AA}" destId="{4C91DB2A-4ABA-41F4-BF23-F5942444C39F}" srcOrd="0" destOrd="0" presId="urn:microsoft.com/office/officeart/2005/8/layout/hierarchy6"/>
    <dgm:cxn modelId="{88F92279-BDCE-E44C-BCA5-5C71FC1029A8}" type="presParOf" srcId="{CF820F43-C855-41AB-A469-568E3CA176AA}" destId="{AD495EAC-2310-4F11-8CD4-77E6F48144A8}" srcOrd="1" destOrd="0" presId="urn:microsoft.com/office/officeart/2005/8/layout/hierarchy6"/>
    <dgm:cxn modelId="{73898B65-2D7A-FD4A-B26B-0ABE51AA370B}" type="presParOf" srcId="{AD495EAC-2310-4F11-8CD4-77E6F48144A8}" destId="{D91A95D7-C167-4160-AFD9-DBA34FE31A57}" srcOrd="0" destOrd="0" presId="urn:microsoft.com/office/officeart/2005/8/layout/hierarchy6"/>
    <dgm:cxn modelId="{417C2905-A03C-F946-BBD1-E5291E2E52C5}" type="presParOf" srcId="{AD495EAC-2310-4F11-8CD4-77E6F48144A8}" destId="{66E16B2A-D1A4-4130-8432-429D4B86967D}" srcOrd="1" destOrd="0" presId="urn:microsoft.com/office/officeart/2005/8/layout/hierarchy6"/>
    <dgm:cxn modelId="{DCEF497F-74A6-3246-860E-86A5D2385A93}" type="presParOf" srcId="{50516F37-117D-48ED-ACDE-575ADB8F4D3C}" destId="{AF42A5EC-43A1-4D7C-9A52-FFD6E9F33074}" srcOrd="2" destOrd="0" presId="urn:microsoft.com/office/officeart/2005/8/layout/hierarchy6"/>
    <dgm:cxn modelId="{E0AA7348-01DB-914E-BF57-9067AE501410}" type="presParOf" srcId="{50516F37-117D-48ED-ACDE-575ADB8F4D3C}" destId="{A98D47EF-7AB4-4F29-93ED-CB85BA344E62}" srcOrd="3" destOrd="0" presId="urn:microsoft.com/office/officeart/2005/8/layout/hierarchy6"/>
    <dgm:cxn modelId="{4A3A43A4-E10E-B947-B5AB-DF34D44523D2}" type="presParOf" srcId="{A98D47EF-7AB4-4F29-93ED-CB85BA344E62}" destId="{9598964B-2CF1-40A4-9213-8052686DA7F8}" srcOrd="0" destOrd="0" presId="urn:microsoft.com/office/officeart/2005/8/layout/hierarchy6"/>
    <dgm:cxn modelId="{105E1240-75DA-F947-9F40-46A1D40356DE}" type="presParOf" srcId="{A98D47EF-7AB4-4F29-93ED-CB85BA344E62}" destId="{1CEFC43B-D171-45EB-961C-90A815EE0AFE}" srcOrd="1" destOrd="0" presId="urn:microsoft.com/office/officeart/2005/8/layout/hierarchy6"/>
    <dgm:cxn modelId="{CB156BCB-2869-DA47-BA3A-8C8BC7A55A68}" type="presParOf" srcId="{1CEFC43B-D171-45EB-961C-90A815EE0AFE}" destId="{A7A3778F-39EB-4E37-8728-243060FDA7A7}" srcOrd="0" destOrd="0" presId="urn:microsoft.com/office/officeart/2005/8/layout/hierarchy6"/>
    <dgm:cxn modelId="{3C332E19-E924-A94C-9383-0F47F0E531D4}" type="presParOf" srcId="{1CEFC43B-D171-45EB-961C-90A815EE0AFE}" destId="{79774978-C486-4CB4-ADAE-1EBC7EDBFE7D}" srcOrd="1" destOrd="0" presId="urn:microsoft.com/office/officeart/2005/8/layout/hierarchy6"/>
    <dgm:cxn modelId="{C51F33F8-8178-E24B-922B-D404D6258567}" type="presParOf" srcId="{79774978-C486-4CB4-ADAE-1EBC7EDBFE7D}" destId="{A10C7A54-5BF4-4859-B0BD-96F9343CF981}" srcOrd="0" destOrd="0" presId="urn:microsoft.com/office/officeart/2005/8/layout/hierarchy6"/>
    <dgm:cxn modelId="{C1E9CE7D-B5F4-1E4F-90A6-CB52AC2C534A}" type="presParOf" srcId="{79774978-C486-4CB4-ADAE-1EBC7EDBFE7D}" destId="{F9F3AA66-FB93-4254-A034-15E63D8EC5F0}" srcOrd="1" destOrd="0" presId="urn:microsoft.com/office/officeart/2005/8/layout/hierarchy6"/>
    <dgm:cxn modelId="{7797C4A9-DECC-8143-A6D9-97A948E98F68}" type="presParOf" srcId="{F9F3AA66-FB93-4254-A034-15E63D8EC5F0}" destId="{9CD0604E-4E7D-4AA0-9157-C63A89534700}" srcOrd="0" destOrd="0" presId="urn:microsoft.com/office/officeart/2005/8/layout/hierarchy6"/>
    <dgm:cxn modelId="{86D3BF0A-EA27-A749-AE35-5D8E616ADAC3}" type="presParOf" srcId="{F9F3AA66-FB93-4254-A034-15E63D8EC5F0}" destId="{B470D178-FE9C-460E-826D-F4532DBBABFC}" srcOrd="1" destOrd="0" presId="urn:microsoft.com/office/officeart/2005/8/layout/hierarchy6"/>
    <dgm:cxn modelId="{BD6AEC81-C679-1A43-9A34-C9D2E5213A9D}" type="presParOf" srcId="{B470D178-FE9C-460E-826D-F4532DBBABFC}" destId="{8CB0D3A3-D426-4D3F-B430-85602DC4C5FD}" srcOrd="0" destOrd="0" presId="urn:microsoft.com/office/officeart/2005/8/layout/hierarchy6"/>
    <dgm:cxn modelId="{341FBB46-A8FC-F941-BEAF-E9094ADC6EE6}" type="presParOf" srcId="{B470D178-FE9C-460E-826D-F4532DBBABFC}" destId="{9B9756FC-C66E-415F-B907-F1EB6A50B005}" srcOrd="1" destOrd="0" presId="urn:microsoft.com/office/officeart/2005/8/layout/hierarchy6"/>
    <dgm:cxn modelId="{BADF47E7-53C9-6146-BC9E-0665E2F568D6}" type="presParOf" srcId="{C9B6E430-6A65-488B-8A9D-0AB67A7CB494}" destId="{AFF5F6C8-5669-40B4-9326-59D9E011AF9B}" srcOrd="1" destOrd="0" presId="urn:microsoft.com/office/officeart/2005/8/layout/hierarchy6"/>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181D1F-F77C-460C-8DA7-071749F41768}">
      <dsp:nvSpPr>
        <dsp:cNvPr id="0" name=""/>
        <dsp:cNvSpPr/>
      </dsp:nvSpPr>
      <dsp:spPr>
        <a:xfrm>
          <a:off x="1137234" y="1340"/>
          <a:ext cx="1659355" cy="595452"/>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Law 30/2007 No. concerning Energy </a:t>
          </a:r>
          <a:endParaRPr lang="en-ID" sz="1200" kern="1200"/>
        </a:p>
      </dsp:txBody>
      <dsp:txXfrm>
        <a:off x="1154674" y="18780"/>
        <a:ext cx="1624475" cy="560572"/>
      </dsp:txXfrm>
    </dsp:sp>
    <dsp:sp modelId="{61A6124E-4E3E-4ED8-8F07-4EB5F4423F53}">
      <dsp:nvSpPr>
        <dsp:cNvPr id="0" name=""/>
        <dsp:cNvSpPr/>
      </dsp:nvSpPr>
      <dsp:spPr>
        <a:xfrm>
          <a:off x="1113699" y="596792"/>
          <a:ext cx="853212" cy="238180"/>
        </a:xfrm>
        <a:custGeom>
          <a:avLst/>
          <a:gdLst/>
          <a:ahLst/>
          <a:cxnLst/>
          <a:rect l="0" t="0" r="0" b="0"/>
          <a:pathLst>
            <a:path>
              <a:moveTo>
                <a:pt x="853212" y="0"/>
              </a:moveTo>
              <a:lnTo>
                <a:pt x="853212" y="119090"/>
              </a:lnTo>
              <a:lnTo>
                <a:pt x="0" y="119090"/>
              </a:lnTo>
              <a:lnTo>
                <a:pt x="0" y="238180"/>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D02593C-7A9B-4836-993B-217C9FF73AAC}">
      <dsp:nvSpPr>
        <dsp:cNvPr id="0" name=""/>
        <dsp:cNvSpPr/>
      </dsp:nvSpPr>
      <dsp:spPr>
        <a:xfrm>
          <a:off x="394463" y="834973"/>
          <a:ext cx="1438472" cy="595452"/>
        </a:xfrm>
        <a:prstGeom prst="roundRect">
          <a:avLst>
            <a:gd name="adj" fmla="val 10000"/>
          </a:avLst>
        </a:prstGeom>
        <a:gradFill rotWithShape="0">
          <a:gsLst>
            <a:gs pos="0">
              <a:schemeClr val="accent3">
                <a:hueOff val="0"/>
                <a:satOff val="0"/>
                <a:lumOff val="0"/>
                <a:alphaOff val="0"/>
                <a:tint val="100000"/>
                <a:shade val="100000"/>
                <a:satMod val="130000"/>
              </a:schemeClr>
            </a:gs>
            <a:gs pos="100000">
              <a:schemeClr val="accent3">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Gov. Regulation No. 79/2014 concerning National Energy Policy </a:t>
          </a:r>
          <a:endParaRPr lang="en-ID" sz="1100" kern="1200"/>
        </a:p>
      </dsp:txBody>
      <dsp:txXfrm>
        <a:off x="411903" y="852413"/>
        <a:ext cx="1403592" cy="560572"/>
      </dsp:txXfrm>
    </dsp:sp>
    <dsp:sp modelId="{4C91DB2A-4ABA-41F4-BF23-F5942444C39F}">
      <dsp:nvSpPr>
        <dsp:cNvPr id="0" name=""/>
        <dsp:cNvSpPr/>
      </dsp:nvSpPr>
      <dsp:spPr>
        <a:xfrm>
          <a:off x="1113699" y="1430425"/>
          <a:ext cx="893285" cy="268798"/>
        </a:xfrm>
        <a:custGeom>
          <a:avLst/>
          <a:gdLst/>
          <a:ahLst/>
          <a:cxnLst/>
          <a:rect l="0" t="0" r="0" b="0"/>
          <a:pathLst>
            <a:path>
              <a:moveTo>
                <a:pt x="0" y="0"/>
              </a:moveTo>
              <a:lnTo>
                <a:pt x="0" y="134399"/>
              </a:lnTo>
              <a:lnTo>
                <a:pt x="893285" y="134399"/>
              </a:lnTo>
              <a:lnTo>
                <a:pt x="893285" y="268798"/>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91A95D7-C167-4160-AFD9-DBA34FE31A57}">
      <dsp:nvSpPr>
        <dsp:cNvPr id="0" name=""/>
        <dsp:cNvSpPr/>
      </dsp:nvSpPr>
      <dsp:spPr>
        <a:xfrm>
          <a:off x="1353129" y="1699224"/>
          <a:ext cx="1307710" cy="595452"/>
        </a:xfrm>
        <a:prstGeom prst="roundRect">
          <a:avLst>
            <a:gd name="adj" fmla="val 10000"/>
          </a:avLst>
        </a:prstGeom>
        <a:gradFill rotWithShape="0">
          <a:gsLst>
            <a:gs pos="0">
              <a:schemeClr val="accent4">
                <a:hueOff val="0"/>
                <a:satOff val="0"/>
                <a:lumOff val="0"/>
                <a:alphaOff val="0"/>
                <a:tint val="100000"/>
                <a:shade val="100000"/>
                <a:satMod val="130000"/>
              </a:schemeClr>
            </a:gs>
            <a:gs pos="100000">
              <a:schemeClr val="accent4">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endParaRPr lang="en-ID" sz="1200" kern="1200"/>
        </a:p>
      </dsp:txBody>
      <dsp:txXfrm>
        <a:off x="1370569" y="1716664"/>
        <a:ext cx="1272830" cy="560572"/>
      </dsp:txXfrm>
    </dsp:sp>
    <dsp:sp modelId="{AF42A5EC-43A1-4D7C-9A52-FFD6E9F33074}">
      <dsp:nvSpPr>
        <dsp:cNvPr id="0" name=""/>
        <dsp:cNvSpPr/>
      </dsp:nvSpPr>
      <dsp:spPr>
        <a:xfrm>
          <a:off x="1966912" y="596792"/>
          <a:ext cx="853212" cy="238180"/>
        </a:xfrm>
        <a:custGeom>
          <a:avLst/>
          <a:gdLst/>
          <a:ahLst/>
          <a:cxnLst/>
          <a:rect l="0" t="0" r="0" b="0"/>
          <a:pathLst>
            <a:path>
              <a:moveTo>
                <a:pt x="0" y="0"/>
              </a:moveTo>
              <a:lnTo>
                <a:pt x="0" y="119090"/>
              </a:lnTo>
              <a:lnTo>
                <a:pt x="853212" y="119090"/>
              </a:lnTo>
              <a:lnTo>
                <a:pt x="853212" y="238180"/>
              </a:lnTo>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598964B-2CF1-40A4-9213-8052686DA7F8}">
      <dsp:nvSpPr>
        <dsp:cNvPr id="0" name=""/>
        <dsp:cNvSpPr/>
      </dsp:nvSpPr>
      <dsp:spPr>
        <a:xfrm>
          <a:off x="2100889" y="834973"/>
          <a:ext cx="1438472" cy="595452"/>
        </a:xfrm>
        <a:prstGeom prst="roundRect">
          <a:avLst>
            <a:gd name="adj" fmla="val 10000"/>
          </a:avLst>
        </a:prstGeom>
        <a:gradFill rotWithShape="0">
          <a:gsLst>
            <a:gs pos="0">
              <a:schemeClr val="accent3">
                <a:hueOff val="0"/>
                <a:satOff val="0"/>
                <a:lumOff val="0"/>
                <a:alphaOff val="0"/>
                <a:tint val="100000"/>
                <a:shade val="100000"/>
                <a:satMod val="130000"/>
              </a:schemeClr>
            </a:gs>
            <a:gs pos="100000">
              <a:schemeClr val="accent3">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Gov. Regulation No. 70/2009 on Energy Conservation </a:t>
          </a:r>
          <a:endParaRPr lang="en-ID" sz="1100" kern="1200"/>
        </a:p>
      </dsp:txBody>
      <dsp:txXfrm>
        <a:off x="2118329" y="852413"/>
        <a:ext cx="1403592" cy="560572"/>
      </dsp:txXfrm>
    </dsp:sp>
    <dsp:sp modelId="{A7A3778F-39EB-4E37-8728-243060FDA7A7}">
      <dsp:nvSpPr>
        <dsp:cNvPr id="0" name=""/>
        <dsp:cNvSpPr/>
      </dsp:nvSpPr>
      <dsp:spPr>
        <a:xfrm>
          <a:off x="2015202" y="1430425"/>
          <a:ext cx="804923" cy="253888"/>
        </a:xfrm>
        <a:custGeom>
          <a:avLst/>
          <a:gdLst/>
          <a:ahLst/>
          <a:cxnLst/>
          <a:rect l="0" t="0" r="0" b="0"/>
          <a:pathLst>
            <a:path>
              <a:moveTo>
                <a:pt x="804923" y="0"/>
              </a:moveTo>
              <a:lnTo>
                <a:pt x="804923" y="126944"/>
              </a:lnTo>
              <a:lnTo>
                <a:pt x="0" y="126944"/>
              </a:lnTo>
              <a:lnTo>
                <a:pt x="0" y="253888"/>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10C7A54-5BF4-4859-B0BD-96F9343CF981}">
      <dsp:nvSpPr>
        <dsp:cNvPr id="0" name=""/>
        <dsp:cNvSpPr/>
      </dsp:nvSpPr>
      <dsp:spPr>
        <a:xfrm>
          <a:off x="1361351" y="1684314"/>
          <a:ext cx="1307701" cy="595452"/>
        </a:xfrm>
        <a:prstGeom prst="roundRect">
          <a:avLst>
            <a:gd name="adj" fmla="val 10000"/>
          </a:avLst>
        </a:prstGeom>
        <a:gradFill rotWithShape="0">
          <a:gsLst>
            <a:gs pos="0">
              <a:schemeClr val="accent4">
                <a:hueOff val="0"/>
                <a:satOff val="0"/>
                <a:lumOff val="0"/>
                <a:alphaOff val="0"/>
                <a:tint val="100000"/>
                <a:shade val="100000"/>
                <a:satMod val="130000"/>
              </a:schemeClr>
            </a:gs>
            <a:gs pos="100000">
              <a:schemeClr val="accent4">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kern="1200"/>
            <a:t>President Regulation No. 55 of 2019 concerning the acceleration of BEV</a:t>
          </a:r>
          <a:endParaRPr lang="en-ID" sz="1050" kern="1200"/>
        </a:p>
      </dsp:txBody>
      <dsp:txXfrm>
        <a:off x="1378791" y="1701754"/>
        <a:ext cx="1272821" cy="560572"/>
      </dsp:txXfrm>
    </dsp:sp>
    <dsp:sp modelId="{9CD0604E-4E7D-4AA0-9157-C63A89534700}">
      <dsp:nvSpPr>
        <dsp:cNvPr id="0" name=""/>
        <dsp:cNvSpPr/>
      </dsp:nvSpPr>
      <dsp:spPr>
        <a:xfrm>
          <a:off x="1969482" y="2279766"/>
          <a:ext cx="91440" cy="222520"/>
        </a:xfrm>
        <a:custGeom>
          <a:avLst/>
          <a:gdLst/>
          <a:ahLst/>
          <a:cxnLst/>
          <a:rect l="0" t="0" r="0" b="0"/>
          <a:pathLst>
            <a:path>
              <a:moveTo>
                <a:pt x="45720" y="0"/>
              </a:moveTo>
              <a:lnTo>
                <a:pt x="45720" y="111260"/>
              </a:lnTo>
              <a:lnTo>
                <a:pt x="46041" y="111260"/>
              </a:lnTo>
              <a:lnTo>
                <a:pt x="46041" y="222520"/>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CB0D3A3-D426-4D3F-B430-85602DC4C5FD}">
      <dsp:nvSpPr>
        <dsp:cNvPr id="0" name=""/>
        <dsp:cNvSpPr/>
      </dsp:nvSpPr>
      <dsp:spPr>
        <a:xfrm>
          <a:off x="1475151" y="2502286"/>
          <a:ext cx="1080745" cy="595452"/>
        </a:xfrm>
        <a:prstGeom prst="roundRect">
          <a:avLst>
            <a:gd name="adj" fmla="val 10000"/>
          </a:avLst>
        </a:prstGeom>
        <a:gradFill rotWithShape="0">
          <a:gsLst>
            <a:gs pos="0">
              <a:schemeClr val="accent5">
                <a:hueOff val="0"/>
                <a:satOff val="0"/>
                <a:lumOff val="0"/>
                <a:alphaOff val="0"/>
                <a:tint val="100000"/>
                <a:shade val="100000"/>
                <a:satMod val="130000"/>
              </a:schemeClr>
            </a:gs>
            <a:gs pos="100000">
              <a:schemeClr val="accent5">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ID" sz="1200" kern="1200"/>
            <a:t>Insentives Scheme</a:t>
          </a:r>
        </a:p>
      </dsp:txBody>
      <dsp:txXfrm>
        <a:off x="1492591" y="2519726"/>
        <a:ext cx="1045865" cy="56057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397</Words>
  <Characters>2268</Characters>
  <Application>Microsoft Macintosh Word</Application>
  <DocSecurity>0</DocSecurity>
  <Lines>18</Lines>
  <Paragraphs>5</Paragraphs>
  <ScaleCrop>false</ScaleCrop>
  <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Rahmah Candrika</dc:creator>
  <cp:keywords/>
  <dc:description/>
  <cp:lastModifiedBy>Rahmah Candrika</cp:lastModifiedBy>
  <cp:revision>1</cp:revision>
  <dcterms:created xsi:type="dcterms:W3CDTF">2021-04-29T13:22:00Z</dcterms:created>
  <dcterms:modified xsi:type="dcterms:W3CDTF">2021-04-29T13:26:00Z</dcterms:modified>
</cp:coreProperties>
</file>