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078" w:rsidRDefault="00CA4078" w:rsidP="00CA4078">
      <w:pPr>
        <w:spacing w:after="0" w:line="240" w:lineRule="auto"/>
        <w:jc w:val="center"/>
        <w:rPr>
          <w:rFonts w:ascii="Times New Roman" w:hAnsi="Times New Roman" w:cs="Times New Roman"/>
          <w:b/>
          <w:sz w:val="24"/>
          <w:lang w:val="en-US"/>
        </w:rPr>
      </w:pPr>
      <w:r>
        <w:rPr>
          <w:rFonts w:ascii="Times New Roman" w:hAnsi="Times New Roman" w:cs="Times New Roman"/>
          <w:b/>
          <w:sz w:val="24"/>
          <w:lang w:val="en-US"/>
        </w:rPr>
        <w:t xml:space="preserve">Transmission of U.S. Monetary Policy Shocks to Oil Exporting Countries: </w:t>
      </w:r>
    </w:p>
    <w:p w:rsidR="00CA4078" w:rsidRDefault="00CA4078" w:rsidP="00CA4078">
      <w:pPr>
        <w:spacing w:after="0" w:line="240" w:lineRule="auto"/>
        <w:jc w:val="center"/>
        <w:rPr>
          <w:rFonts w:ascii="Times New Roman" w:hAnsi="Times New Roman" w:cs="Times New Roman"/>
          <w:b/>
          <w:sz w:val="24"/>
          <w:lang w:val="en-US"/>
        </w:rPr>
      </w:pPr>
      <w:r>
        <w:rPr>
          <w:rFonts w:ascii="Times New Roman" w:hAnsi="Times New Roman" w:cs="Times New Roman"/>
          <w:b/>
          <w:sz w:val="24"/>
          <w:lang w:val="en-US"/>
        </w:rPr>
        <w:t>A VEC Approach to Mundellian Trilemma</w:t>
      </w:r>
    </w:p>
    <w:p w:rsidR="00AF60FC" w:rsidRDefault="00AF60FC" w:rsidP="006C1F98">
      <w:pPr>
        <w:spacing w:after="0" w:line="240" w:lineRule="auto"/>
        <w:rPr>
          <w:rFonts w:ascii="Times New Roman" w:hAnsi="Times New Roman" w:cs="Times New Roman"/>
          <w:b/>
          <w:sz w:val="24"/>
          <w:lang w:val="en-US"/>
        </w:rPr>
      </w:pPr>
    </w:p>
    <w:p w:rsidR="00AF60FC" w:rsidRDefault="00E34A71" w:rsidP="00AF60FC">
      <w:pPr>
        <w:spacing w:after="0" w:line="240" w:lineRule="auto"/>
        <w:jc w:val="center"/>
        <w:rPr>
          <w:rFonts w:ascii="Times New Roman" w:hAnsi="Times New Roman" w:cs="Times New Roman"/>
          <w:b/>
          <w:lang w:val="en-US"/>
        </w:rPr>
      </w:pPr>
      <w:r>
        <w:rPr>
          <w:rFonts w:ascii="Times New Roman" w:hAnsi="Times New Roman" w:cs="Times New Roman"/>
          <w:b/>
          <w:lang w:val="en-US"/>
        </w:rPr>
        <w:t>Dmitry Vladimirovich</w:t>
      </w:r>
      <w:r w:rsidR="00AF60FC">
        <w:rPr>
          <w:rFonts w:ascii="Times New Roman" w:hAnsi="Times New Roman" w:cs="Times New Roman"/>
          <w:b/>
          <w:lang w:val="en-US"/>
        </w:rPr>
        <w:t xml:space="preserve"> Burakov</w:t>
      </w:r>
    </w:p>
    <w:p w:rsidR="00AF60FC" w:rsidRDefault="00AF60FC" w:rsidP="00AF60FC">
      <w:pPr>
        <w:spacing w:after="0" w:line="240" w:lineRule="auto"/>
        <w:jc w:val="center"/>
        <w:rPr>
          <w:rFonts w:ascii="Times New Roman" w:hAnsi="Times New Roman" w:cs="Times New Roman"/>
          <w:lang w:val="en-US"/>
        </w:rPr>
      </w:pPr>
      <w:r>
        <w:rPr>
          <w:rFonts w:ascii="Times New Roman" w:hAnsi="Times New Roman" w:cs="Times New Roman"/>
          <w:lang w:val="en-US"/>
        </w:rPr>
        <w:t xml:space="preserve">Department of </w:t>
      </w:r>
      <w:r w:rsidR="00AE0EFE">
        <w:rPr>
          <w:rFonts w:ascii="Times New Roman" w:hAnsi="Times New Roman" w:cs="Times New Roman"/>
          <w:lang w:val="en-US"/>
        </w:rPr>
        <w:t>Financial Markets</w:t>
      </w:r>
      <w:r>
        <w:rPr>
          <w:rFonts w:ascii="Times New Roman" w:hAnsi="Times New Roman" w:cs="Times New Roman"/>
          <w:lang w:val="en-US"/>
        </w:rPr>
        <w:t xml:space="preserve"> &amp; </w:t>
      </w:r>
      <w:r w:rsidR="00AE0EFE">
        <w:rPr>
          <w:rFonts w:ascii="Times New Roman" w:hAnsi="Times New Roman" w:cs="Times New Roman"/>
          <w:lang w:val="en-US"/>
        </w:rPr>
        <w:t>Banks</w:t>
      </w:r>
      <w:r>
        <w:rPr>
          <w:rFonts w:ascii="Times New Roman" w:hAnsi="Times New Roman" w:cs="Times New Roman"/>
          <w:lang w:val="en-US"/>
        </w:rPr>
        <w:t>,</w:t>
      </w:r>
    </w:p>
    <w:p w:rsidR="00AF60FC" w:rsidRDefault="00AF60FC" w:rsidP="00AF60FC">
      <w:pPr>
        <w:spacing w:after="0" w:line="240" w:lineRule="auto"/>
        <w:jc w:val="center"/>
        <w:rPr>
          <w:rFonts w:ascii="Times New Roman" w:hAnsi="Times New Roman" w:cs="Times New Roman"/>
          <w:lang w:val="en-US"/>
        </w:rPr>
      </w:pPr>
      <w:r>
        <w:rPr>
          <w:rFonts w:ascii="Times New Roman" w:hAnsi="Times New Roman" w:cs="Times New Roman"/>
          <w:lang w:val="en-US"/>
        </w:rPr>
        <w:t xml:space="preserve">Financial University under the Government of </w:t>
      </w:r>
      <w:r w:rsidR="00CA4078">
        <w:rPr>
          <w:rFonts w:ascii="Times New Roman" w:hAnsi="Times New Roman" w:cs="Times New Roman"/>
          <w:lang w:val="en-US"/>
        </w:rPr>
        <w:t xml:space="preserve">the </w:t>
      </w:r>
      <w:r>
        <w:rPr>
          <w:rFonts w:ascii="Times New Roman" w:hAnsi="Times New Roman" w:cs="Times New Roman"/>
          <w:lang w:val="en-US"/>
        </w:rPr>
        <w:t>Russian Federation, Moscow</w:t>
      </w:r>
      <w:r w:rsidR="005B7F6C" w:rsidRPr="005B7F6C">
        <w:rPr>
          <w:rFonts w:ascii="Times New Roman" w:hAnsi="Times New Roman" w:cs="Times New Roman"/>
          <w:lang w:val="en-US"/>
        </w:rPr>
        <w:t>,</w:t>
      </w:r>
      <w:r>
        <w:rPr>
          <w:rFonts w:ascii="Times New Roman" w:hAnsi="Times New Roman" w:cs="Times New Roman"/>
          <w:lang w:val="en-US"/>
        </w:rPr>
        <w:t xml:space="preserve"> Russia.</w:t>
      </w:r>
    </w:p>
    <w:p w:rsidR="00AF60FC" w:rsidRDefault="00AF60FC" w:rsidP="00AF60FC">
      <w:pPr>
        <w:spacing w:after="0" w:line="240" w:lineRule="auto"/>
        <w:jc w:val="center"/>
        <w:rPr>
          <w:rFonts w:ascii="Times New Roman" w:hAnsi="Times New Roman" w:cs="Times New Roman"/>
          <w:lang w:val="en-US"/>
        </w:rPr>
      </w:pPr>
      <w:r>
        <w:rPr>
          <w:rFonts w:ascii="Times New Roman" w:hAnsi="Times New Roman" w:cs="Times New Roman"/>
          <w:lang w:val="en-US"/>
        </w:rPr>
        <w:t xml:space="preserve">E-mail: </w:t>
      </w:r>
      <w:r w:rsidRPr="00AF60FC">
        <w:rPr>
          <w:rFonts w:ascii="Times New Roman" w:hAnsi="Times New Roman" w:cs="Times New Roman"/>
          <w:lang w:val="en-US"/>
        </w:rPr>
        <w:t>dbur89@yandex.ru</w:t>
      </w:r>
    </w:p>
    <w:p w:rsidR="00AF60FC" w:rsidRDefault="00AF60FC" w:rsidP="00AF60FC">
      <w:pPr>
        <w:spacing w:after="0" w:line="240" w:lineRule="auto"/>
        <w:jc w:val="center"/>
        <w:rPr>
          <w:rFonts w:ascii="Times New Roman" w:hAnsi="Times New Roman" w:cs="Times New Roman"/>
          <w:lang w:val="en-US"/>
        </w:rPr>
      </w:pPr>
    </w:p>
    <w:p w:rsidR="00AF60FC" w:rsidRDefault="00AF60FC" w:rsidP="00AF60FC">
      <w:pPr>
        <w:spacing w:after="0" w:line="240" w:lineRule="auto"/>
        <w:jc w:val="both"/>
        <w:rPr>
          <w:rFonts w:ascii="Times New Roman" w:hAnsi="Times New Roman" w:cs="Times New Roman"/>
          <w:lang w:val="en-US"/>
        </w:rPr>
      </w:pPr>
    </w:p>
    <w:p w:rsidR="00E740FC" w:rsidRDefault="00AF60FC" w:rsidP="00CA4078">
      <w:pPr>
        <w:spacing w:after="0" w:line="240" w:lineRule="auto"/>
        <w:jc w:val="both"/>
        <w:rPr>
          <w:rFonts w:ascii="Times New Roman" w:hAnsi="Times New Roman" w:cs="Times New Roman"/>
          <w:lang w:val="en-US"/>
        </w:rPr>
      </w:pPr>
      <w:r w:rsidRPr="00AF60FC">
        <w:rPr>
          <w:rFonts w:ascii="Times New Roman" w:hAnsi="Times New Roman" w:cs="Times New Roman"/>
          <w:b/>
          <w:lang w:val="en-US"/>
        </w:rPr>
        <w:t xml:space="preserve">ABSTRACT: </w:t>
      </w:r>
      <w:r w:rsidR="00CA4078" w:rsidRPr="0086584F">
        <w:rPr>
          <w:rFonts w:ascii="Times New Roman" w:hAnsi="Times New Roman" w:cs="Times New Roman"/>
          <w:lang w:val="en-US"/>
        </w:rPr>
        <w:t xml:space="preserve">In this article </w:t>
      </w:r>
      <w:r w:rsidR="00CA4078">
        <w:rPr>
          <w:rFonts w:ascii="Times New Roman" w:hAnsi="Times New Roman" w:cs="Times New Roman"/>
          <w:lang w:val="en-US"/>
        </w:rPr>
        <w:t>we</w:t>
      </w:r>
      <w:r w:rsidR="00CA4078" w:rsidRPr="0086584F">
        <w:rPr>
          <w:rFonts w:ascii="Times New Roman" w:hAnsi="Times New Roman" w:cs="Times New Roman"/>
          <w:lang w:val="en-US"/>
        </w:rPr>
        <w:t xml:space="preserve"> test the hypothesis of oil price channel of </w:t>
      </w:r>
      <w:r w:rsidR="00CA4078">
        <w:rPr>
          <w:rFonts w:ascii="Times New Roman" w:hAnsi="Times New Roman" w:cs="Times New Roman"/>
          <w:lang w:val="en-US"/>
        </w:rPr>
        <w:t xml:space="preserve">US </w:t>
      </w:r>
      <w:r w:rsidR="00CA4078" w:rsidRPr="0086584F">
        <w:rPr>
          <w:rFonts w:ascii="Times New Roman" w:hAnsi="Times New Roman" w:cs="Times New Roman"/>
          <w:lang w:val="en-US"/>
        </w:rPr>
        <w:t xml:space="preserve">monetary policy transmission </w:t>
      </w:r>
      <w:r w:rsidR="00CA4078">
        <w:rPr>
          <w:rFonts w:ascii="Times New Roman" w:hAnsi="Times New Roman" w:cs="Times New Roman"/>
          <w:lang w:val="en-US"/>
        </w:rPr>
        <w:t>to</w:t>
      </w:r>
      <w:r w:rsidR="00CA4078" w:rsidRPr="0086584F">
        <w:rPr>
          <w:rFonts w:ascii="Times New Roman" w:hAnsi="Times New Roman" w:cs="Times New Roman"/>
          <w:lang w:val="en-US"/>
        </w:rPr>
        <w:t xml:space="preserve"> oil-exporting countries</w:t>
      </w:r>
      <w:r w:rsidR="00CA4078">
        <w:rPr>
          <w:rFonts w:ascii="Times New Roman" w:hAnsi="Times New Roman" w:cs="Times New Roman"/>
          <w:lang w:val="en-US"/>
        </w:rPr>
        <w:t xml:space="preserve"> under floating exchange rate regime and free capital mobility</w:t>
      </w:r>
      <w:r w:rsidR="00CA4078" w:rsidRPr="0086584F">
        <w:rPr>
          <w:rFonts w:ascii="Times New Roman" w:hAnsi="Times New Roman" w:cs="Times New Roman"/>
          <w:lang w:val="en-US"/>
        </w:rPr>
        <w:t>. On the example of Russia</w:t>
      </w:r>
      <w:r w:rsidR="00CA4078">
        <w:rPr>
          <w:rFonts w:ascii="Times New Roman" w:hAnsi="Times New Roman" w:cs="Times New Roman"/>
          <w:lang w:val="en-US"/>
        </w:rPr>
        <w:t>,</w:t>
      </w:r>
      <w:r w:rsidR="00CA4078" w:rsidRPr="0086584F">
        <w:rPr>
          <w:rFonts w:ascii="Times New Roman" w:hAnsi="Times New Roman" w:cs="Times New Roman"/>
          <w:lang w:val="en-US"/>
        </w:rPr>
        <w:t xml:space="preserve"> using quarterly data for the period from 2000 to 2016</w:t>
      </w:r>
      <w:r w:rsidR="00CA4078">
        <w:rPr>
          <w:rFonts w:ascii="Times New Roman" w:hAnsi="Times New Roman" w:cs="Times New Roman"/>
          <w:lang w:val="en-US"/>
        </w:rPr>
        <w:t>,</w:t>
      </w:r>
      <w:r w:rsidR="00CA4078" w:rsidRPr="0086584F">
        <w:rPr>
          <w:rFonts w:ascii="Times New Roman" w:hAnsi="Times New Roman" w:cs="Times New Roman"/>
          <w:lang w:val="en-US"/>
        </w:rPr>
        <w:t xml:space="preserve"> we study the long-term and short-term r</w:t>
      </w:r>
      <w:r w:rsidR="00CA4078">
        <w:rPr>
          <w:rFonts w:ascii="Times New Roman" w:hAnsi="Times New Roman" w:cs="Times New Roman"/>
          <w:lang w:val="en-US"/>
        </w:rPr>
        <w:t>elations between the US effective f</w:t>
      </w:r>
      <w:r w:rsidR="00CA4078" w:rsidRPr="0086584F">
        <w:rPr>
          <w:rFonts w:ascii="Times New Roman" w:hAnsi="Times New Roman" w:cs="Times New Roman"/>
          <w:lang w:val="en-US"/>
        </w:rPr>
        <w:t xml:space="preserve">ederal funds rate, world oil prices (Brent) and </w:t>
      </w:r>
      <w:r w:rsidR="00CA4078">
        <w:rPr>
          <w:rFonts w:ascii="Times New Roman" w:hAnsi="Times New Roman" w:cs="Times New Roman"/>
          <w:lang w:val="en-US"/>
        </w:rPr>
        <w:t>the</w:t>
      </w:r>
      <w:r w:rsidR="00CA4078" w:rsidRPr="0086584F">
        <w:rPr>
          <w:rFonts w:ascii="Times New Roman" w:hAnsi="Times New Roman" w:cs="Times New Roman"/>
          <w:lang w:val="en-US"/>
        </w:rPr>
        <w:t xml:space="preserve"> Bank of Russia</w:t>
      </w:r>
      <w:r w:rsidR="00CA4078">
        <w:rPr>
          <w:rFonts w:ascii="Times New Roman" w:hAnsi="Times New Roman" w:cs="Times New Roman"/>
          <w:lang w:val="en-US"/>
        </w:rPr>
        <w:t>’s</w:t>
      </w:r>
      <w:r w:rsidR="00CA4078" w:rsidRPr="0086584F">
        <w:rPr>
          <w:rFonts w:ascii="Times New Roman" w:hAnsi="Times New Roman" w:cs="Times New Roman"/>
          <w:lang w:val="en-US"/>
        </w:rPr>
        <w:t xml:space="preserve"> key rate. The results of the VEC model show that the system </w:t>
      </w:r>
      <w:r w:rsidR="00CA4078">
        <w:rPr>
          <w:rFonts w:ascii="Times New Roman" w:hAnsi="Times New Roman" w:cs="Times New Roman"/>
          <w:lang w:val="en-US"/>
        </w:rPr>
        <w:t xml:space="preserve">of variables </w:t>
      </w:r>
      <w:r w:rsidR="00CA4078" w:rsidRPr="0086584F">
        <w:rPr>
          <w:rFonts w:ascii="Times New Roman" w:hAnsi="Times New Roman" w:cs="Times New Roman"/>
          <w:lang w:val="en-US"/>
        </w:rPr>
        <w:t>corrects its previous period disequilibrium at a speed 61,24% in one quarter.</w:t>
      </w:r>
      <w:r w:rsidR="00CA4078">
        <w:rPr>
          <w:rFonts w:ascii="Times New Roman" w:hAnsi="Times New Roman" w:cs="Times New Roman"/>
          <w:lang w:val="en-US"/>
        </w:rPr>
        <w:t xml:space="preserve"> </w:t>
      </w:r>
      <w:r w:rsidR="00CA4078" w:rsidRPr="0086584F">
        <w:rPr>
          <w:rFonts w:ascii="Times New Roman" w:hAnsi="Times New Roman" w:cs="Times New Roman"/>
          <w:lang w:val="en-US"/>
        </w:rPr>
        <w:t xml:space="preserve">Based on the results of the Wald test, we find statistically significant causality running from world oil prices to interest rate policy of the Bank of Russia with the </w:t>
      </w:r>
      <w:r w:rsidR="00CA4078">
        <w:rPr>
          <w:rFonts w:ascii="Times New Roman" w:hAnsi="Times New Roman" w:cs="Times New Roman"/>
          <w:lang w:val="en-US"/>
        </w:rPr>
        <w:t>rate</w:t>
      </w:r>
      <w:r w:rsidR="00CA4078" w:rsidRPr="0086584F">
        <w:rPr>
          <w:rFonts w:ascii="Times New Roman" w:hAnsi="Times New Roman" w:cs="Times New Roman"/>
          <w:lang w:val="en-US"/>
        </w:rPr>
        <w:t xml:space="preserve"> of adaptation to equilibrium by 10.21%.</w:t>
      </w:r>
      <w:r w:rsidR="00CA4078">
        <w:rPr>
          <w:rFonts w:ascii="Times New Roman" w:hAnsi="Times New Roman" w:cs="Times New Roman"/>
          <w:lang w:val="en-US"/>
        </w:rPr>
        <w:t xml:space="preserve"> </w:t>
      </w:r>
      <w:r w:rsidR="00CA4078" w:rsidRPr="00137562">
        <w:rPr>
          <w:rFonts w:ascii="Times New Roman" w:hAnsi="Times New Roman" w:cs="Times New Roman"/>
          <w:lang w:val="en-US"/>
        </w:rPr>
        <w:t>The result</w:t>
      </w:r>
      <w:r w:rsidR="00CA4078">
        <w:rPr>
          <w:rFonts w:ascii="Times New Roman" w:hAnsi="Times New Roman" w:cs="Times New Roman"/>
          <w:lang w:val="en-US"/>
        </w:rPr>
        <w:t xml:space="preserve">s also </w:t>
      </w:r>
      <w:r w:rsidR="00CA4078" w:rsidRPr="00137562">
        <w:rPr>
          <w:rFonts w:ascii="Times New Roman" w:hAnsi="Times New Roman" w:cs="Times New Roman"/>
          <w:lang w:val="en-US"/>
        </w:rPr>
        <w:t>show</w:t>
      </w:r>
      <w:r w:rsidR="00CA4078">
        <w:rPr>
          <w:rFonts w:ascii="Times New Roman" w:hAnsi="Times New Roman" w:cs="Times New Roman"/>
          <w:lang w:val="en-US"/>
        </w:rPr>
        <w:t xml:space="preserve"> </w:t>
      </w:r>
      <w:r w:rsidR="00CA4078" w:rsidRPr="00137562">
        <w:rPr>
          <w:rFonts w:ascii="Times New Roman" w:hAnsi="Times New Roman" w:cs="Times New Roman"/>
          <w:lang w:val="en-US"/>
        </w:rPr>
        <w:t>presence of causality running from US monetary policy to Bank of Russia’s key rate with the speed of adjustment</w:t>
      </w:r>
      <w:r w:rsidR="00CA4078">
        <w:rPr>
          <w:rFonts w:ascii="Times New Roman" w:hAnsi="Times New Roman" w:cs="Times New Roman"/>
          <w:lang w:val="en-US"/>
        </w:rPr>
        <w:t xml:space="preserve"> towards equilibrium at 25,69%. Overall results of the study show that a negative shock in US rate leads to decline in oil prices (Brent), which in turn leads to an increase in Russia’s key rate. Revealed oil price transmission channel serves also as an additional argument against Mundell-Fleming Trilemma, according to which under floating exchange rate and free capital mobility, monetary policy of the country may be independent. </w:t>
      </w:r>
    </w:p>
    <w:p w:rsidR="00CA4078" w:rsidRPr="00CA4078" w:rsidRDefault="00CA4078" w:rsidP="00CA4078">
      <w:pPr>
        <w:spacing w:after="0" w:line="240" w:lineRule="auto"/>
        <w:jc w:val="both"/>
        <w:rPr>
          <w:rFonts w:ascii="Times New Roman" w:hAnsi="Times New Roman" w:cs="Times New Roman"/>
          <w:lang w:val="en-US"/>
        </w:rPr>
      </w:pPr>
    </w:p>
    <w:p w:rsidR="00AE0EFE" w:rsidRDefault="00D523D8" w:rsidP="00E740FC">
      <w:pPr>
        <w:jc w:val="both"/>
        <w:rPr>
          <w:rFonts w:ascii="Times New Roman" w:eastAsia="Times New Roman" w:hAnsi="Times New Roman" w:cs="Times New Roman"/>
          <w:szCs w:val="24"/>
          <w:lang w:val="en-US" w:eastAsia="ru-RU"/>
        </w:rPr>
      </w:pPr>
      <w:r w:rsidRPr="00D523D8">
        <w:rPr>
          <w:rFonts w:ascii="Times New Roman" w:eastAsia="Times New Roman" w:hAnsi="Times New Roman" w:cs="Times New Roman"/>
          <w:b/>
          <w:szCs w:val="24"/>
          <w:lang w:val="en-US" w:eastAsia="ru-RU"/>
        </w:rPr>
        <w:t>Keywords:</w:t>
      </w:r>
      <w:r w:rsidR="00AE0EFE">
        <w:rPr>
          <w:rFonts w:ascii="Times New Roman" w:eastAsia="Times New Roman" w:hAnsi="Times New Roman" w:cs="Times New Roman"/>
          <w:szCs w:val="24"/>
          <w:lang w:val="en-US" w:eastAsia="ru-RU"/>
        </w:rPr>
        <w:t xml:space="preserve"> </w:t>
      </w:r>
      <w:r w:rsidR="00CA4078" w:rsidRPr="006C1F98">
        <w:rPr>
          <w:rFonts w:ascii="Times New Roman" w:eastAsia="Times New Roman" w:hAnsi="Times New Roman" w:cs="Times New Roman"/>
          <w:szCs w:val="24"/>
          <w:lang w:val="en-US" w:eastAsia="ru-RU"/>
        </w:rPr>
        <w:t xml:space="preserve">world oil prices, </w:t>
      </w:r>
      <w:r w:rsidR="00CA4078">
        <w:rPr>
          <w:rFonts w:ascii="Times New Roman" w:eastAsia="Times New Roman" w:hAnsi="Times New Roman" w:cs="Times New Roman"/>
          <w:szCs w:val="24"/>
          <w:lang w:val="en-US" w:eastAsia="ru-RU"/>
        </w:rPr>
        <w:t>transmission channel</w:t>
      </w:r>
      <w:r w:rsidR="00CA4078" w:rsidRPr="006C1F98">
        <w:rPr>
          <w:rFonts w:ascii="Times New Roman" w:eastAsia="Times New Roman" w:hAnsi="Times New Roman" w:cs="Times New Roman"/>
          <w:szCs w:val="24"/>
          <w:lang w:val="en-US" w:eastAsia="ru-RU"/>
        </w:rPr>
        <w:t xml:space="preserve">, </w:t>
      </w:r>
      <w:r w:rsidR="00CA4078">
        <w:rPr>
          <w:rFonts w:ascii="Times New Roman" w:eastAsia="Times New Roman" w:hAnsi="Times New Roman" w:cs="Times New Roman"/>
          <w:szCs w:val="24"/>
          <w:lang w:val="en-US" w:eastAsia="ru-RU"/>
        </w:rPr>
        <w:t>Mundell-Fleming trilemma</w:t>
      </w:r>
      <w:r w:rsidR="00CA4078" w:rsidRPr="006C1F98">
        <w:rPr>
          <w:rFonts w:ascii="Times New Roman" w:eastAsia="Times New Roman" w:hAnsi="Times New Roman" w:cs="Times New Roman"/>
          <w:szCs w:val="24"/>
          <w:lang w:val="en-US" w:eastAsia="ru-RU"/>
        </w:rPr>
        <w:t xml:space="preserve">, </w:t>
      </w:r>
      <w:r w:rsidR="00CA4078">
        <w:rPr>
          <w:rFonts w:ascii="Times New Roman" w:eastAsia="Times New Roman" w:hAnsi="Times New Roman" w:cs="Times New Roman"/>
          <w:szCs w:val="24"/>
          <w:lang w:val="en-US" w:eastAsia="ru-RU"/>
        </w:rPr>
        <w:t>monetary policy</w:t>
      </w:r>
    </w:p>
    <w:p w:rsidR="00D523D8" w:rsidRDefault="00D523D8" w:rsidP="00E740FC">
      <w:pPr>
        <w:jc w:val="both"/>
        <w:rPr>
          <w:rFonts w:ascii="Times New Roman" w:eastAsia="Times New Roman" w:hAnsi="Times New Roman" w:cs="Times New Roman"/>
          <w:szCs w:val="24"/>
          <w:lang w:val="en-US" w:eastAsia="ru-RU"/>
        </w:rPr>
      </w:pPr>
      <w:r w:rsidRPr="00D523D8">
        <w:rPr>
          <w:rFonts w:ascii="Times New Roman" w:eastAsia="Times New Roman" w:hAnsi="Times New Roman" w:cs="Times New Roman"/>
          <w:b/>
          <w:szCs w:val="24"/>
          <w:lang w:val="en-US" w:eastAsia="ru-RU"/>
        </w:rPr>
        <w:t>JEL Classifications:</w:t>
      </w:r>
      <w:r>
        <w:rPr>
          <w:rFonts w:ascii="Times New Roman" w:eastAsia="Times New Roman" w:hAnsi="Times New Roman" w:cs="Times New Roman"/>
          <w:b/>
          <w:szCs w:val="24"/>
          <w:lang w:val="en-US" w:eastAsia="ru-RU"/>
        </w:rPr>
        <w:t xml:space="preserve"> </w:t>
      </w:r>
      <w:r w:rsidR="00CA4078">
        <w:rPr>
          <w:rFonts w:ascii="Times New Roman" w:eastAsia="Times New Roman" w:hAnsi="Times New Roman" w:cs="Times New Roman"/>
          <w:szCs w:val="24"/>
          <w:lang w:val="en-US" w:eastAsia="ru-RU"/>
        </w:rPr>
        <w:t xml:space="preserve">E50; E58; </w:t>
      </w:r>
      <w:r w:rsidR="00CA4078" w:rsidRPr="00B62241">
        <w:rPr>
          <w:rFonts w:ascii="Times New Roman" w:eastAsia="Times New Roman" w:hAnsi="Times New Roman" w:cs="Times New Roman"/>
          <w:szCs w:val="24"/>
          <w:lang w:val="en-US" w:eastAsia="ru-RU"/>
        </w:rPr>
        <w:t>F40</w:t>
      </w:r>
      <w:r w:rsidR="00CA4078">
        <w:rPr>
          <w:rFonts w:ascii="Times New Roman" w:eastAsia="Times New Roman" w:hAnsi="Times New Roman" w:cs="Times New Roman"/>
          <w:szCs w:val="24"/>
          <w:lang w:val="en-US" w:eastAsia="ru-RU"/>
        </w:rPr>
        <w:t>; Q41, Q43.</w:t>
      </w:r>
      <w:bookmarkStart w:id="0" w:name="_GoBack"/>
      <w:bookmarkEnd w:id="0"/>
    </w:p>
    <w:sectPr w:rsidR="00D523D8" w:rsidSect="00C41399">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D0617"/>
    <w:multiLevelType w:val="hybridMultilevel"/>
    <w:tmpl w:val="13F60E52"/>
    <w:lvl w:ilvl="0" w:tplc="A8F09BD8">
      <w:start w:val="1"/>
      <w:numFmt w:val="decimal"/>
      <w:lvlText w:val="%1."/>
      <w:lvlJc w:val="left"/>
      <w:pPr>
        <w:ind w:left="720" w:hanging="360"/>
      </w:pPr>
      <w:rPr>
        <w:rFonts w:eastAsia="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045C92"/>
    <w:multiLevelType w:val="hybridMultilevel"/>
    <w:tmpl w:val="4CFA9C4A"/>
    <w:lvl w:ilvl="0" w:tplc="FB3496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3A7774"/>
    <w:multiLevelType w:val="hybridMultilevel"/>
    <w:tmpl w:val="0D108D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8F54923"/>
    <w:multiLevelType w:val="hybridMultilevel"/>
    <w:tmpl w:val="21A29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5DC41F9"/>
    <w:multiLevelType w:val="hybridMultilevel"/>
    <w:tmpl w:val="C2AA7552"/>
    <w:lvl w:ilvl="0" w:tplc="B088D910">
      <w:start w:val="1"/>
      <w:numFmt w:val="decimal"/>
      <w:lvlText w:val="%1."/>
      <w:lvlJc w:val="left"/>
      <w:pPr>
        <w:ind w:left="720" w:hanging="360"/>
      </w:pPr>
      <w:rPr>
        <w:rFonts w:eastAsia="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984"/>
    <w:rsid w:val="000071E7"/>
    <w:rsid w:val="0001310E"/>
    <w:rsid w:val="000262CC"/>
    <w:rsid w:val="0005582C"/>
    <w:rsid w:val="000F688A"/>
    <w:rsid w:val="001133D7"/>
    <w:rsid w:val="00122119"/>
    <w:rsid w:val="00175E88"/>
    <w:rsid w:val="00191E7B"/>
    <w:rsid w:val="001A722E"/>
    <w:rsid w:val="00206DC8"/>
    <w:rsid w:val="00230937"/>
    <w:rsid w:val="00231928"/>
    <w:rsid w:val="002415A9"/>
    <w:rsid w:val="00250EE0"/>
    <w:rsid w:val="00250F78"/>
    <w:rsid w:val="00285521"/>
    <w:rsid w:val="002A0F17"/>
    <w:rsid w:val="002A168D"/>
    <w:rsid w:val="002A2DE0"/>
    <w:rsid w:val="002B11F2"/>
    <w:rsid w:val="002F0360"/>
    <w:rsid w:val="00357D1D"/>
    <w:rsid w:val="003779BA"/>
    <w:rsid w:val="003E7D95"/>
    <w:rsid w:val="003F7899"/>
    <w:rsid w:val="00400B33"/>
    <w:rsid w:val="00413700"/>
    <w:rsid w:val="0042466C"/>
    <w:rsid w:val="00426078"/>
    <w:rsid w:val="004337B2"/>
    <w:rsid w:val="004F2009"/>
    <w:rsid w:val="00501883"/>
    <w:rsid w:val="00507C0F"/>
    <w:rsid w:val="0052377F"/>
    <w:rsid w:val="005B7F6C"/>
    <w:rsid w:val="005D6342"/>
    <w:rsid w:val="0060490F"/>
    <w:rsid w:val="00616B1D"/>
    <w:rsid w:val="006C1F98"/>
    <w:rsid w:val="00715BA7"/>
    <w:rsid w:val="00745F47"/>
    <w:rsid w:val="00772984"/>
    <w:rsid w:val="00772C4F"/>
    <w:rsid w:val="00774D0E"/>
    <w:rsid w:val="00783636"/>
    <w:rsid w:val="007931EB"/>
    <w:rsid w:val="007A3131"/>
    <w:rsid w:val="007F1DCF"/>
    <w:rsid w:val="007F782B"/>
    <w:rsid w:val="008305B9"/>
    <w:rsid w:val="008C5960"/>
    <w:rsid w:val="008D7A1A"/>
    <w:rsid w:val="00900D2E"/>
    <w:rsid w:val="00911C13"/>
    <w:rsid w:val="00935007"/>
    <w:rsid w:val="0094174A"/>
    <w:rsid w:val="009466DA"/>
    <w:rsid w:val="0099355C"/>
    <w:rsid w:val="009B4AC8"/>
    <w:rsid w:val="00A50A86"/>
    <w:rsid w:val="00AE0EFE"/>
    <w:rsid w:val="00AF253E"/>
    <w:rsid w:val="00AF60FC"/>
    <w:rsid w:val="00B22BF1"/>
    <w:rsid w:val="00B40D50"/>
    <w:rsid w:val="00B453C6"/>
    <w:rsid w:val="00BD0A53"/>
    <w:rsid w:val="00BD34C8"/>
    <w:rsid w:val="00BD7CAA"/>
    <w:rsid w:val="00BD7E57"/>
    <w:rsid w:val="00C12E8C"/>
    <w:rsid w:val="00C172F6"/>
    <w:rsid w:val="00C24317"/>
    <w:rsid w:val="00C41399"/>
    <w:rsid w:val="00C531BC"/>
    <w:rsid w:val="00C90DE8"/>
    <w:rsid w:val="00CA4078"/>
    <w:rsid w:val="00CA5662"/>
    <w:rsid w:val="00CC31E2"/>
    <w:rsid w:val="00CC47F2"/>
    <w:rsid w:val="00CE0955"/>
    <w:rsid w:val="00CF7EB9"/>
    <w:rsid w:val="00D026F9"/>
    <w:rsid w:val="00D05BED"/>
    <w:rsid w:val="00D20F82"/>
    <w:rsid w:val="00D24272"/>
    <w:rsid w:val="00D523D8"/>
    <w:rsid w:val="00E1569A"/>
    <w:rsid w:val="00E1761D"/>
    <w:rsid w:val="00E34A71"/>
    <w:rsid w:val="00E72922"/>
    <w:rsid w:val="00E7366D"/>
    <w:rsid w:val="00E740FC"/>
    <w:rsid w:val="00EA1685"/>
    <w:rsid w:val="00EA4E64"/>
    <w:rsid w:val="00EC7FB8"/>
    <w:rsid w:val="00F00BCA"/>
    <w:rsid w:val="00F95BCC"/>
    <w:rsid w:val="00FC6AB1"/>
    <w:rsid w:val="00FD08EE"/>
    <w:rsid w:val="00FD4D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95A61"/>
  <w15:chartTrackingRefBased/>
  <w15:docId w15:val="{7138511E-D438-4FE4-9B59-B111B885B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D08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12E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7A313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F60FC"/>
    <w:rPr>
      <w:color w:val="0563C1" w:themeColor="hyperlink"/>
      <w:u w:val="single"/>
    </w:rPr>
  </w:style>
  <w:style w:type="paragraph" w:styleId="a4">
    <w:name w:val="List Paragraph"/>
    <w:basedOn w:val="a"/>
    <w:uiPriority w:val="34"/>
    <w:qFormat/>
    <w:rsid w:val="00191E7B"/>
    <w:pPr>
      <w:ind w:left="720"/>
      <w:contextualSpacing/>
    </w:pPr>
  </w:style>
  <w:style w:type="character" w:styleId="a5">
    <w:name w:val="Strong"/>
    <w:basedOn w:val="a0"/>
    <w:uiPriority w:val="22"/>
    <w:qFormat/>
    <w:rsid w:val="00FD08EE"/>
    <w:rPr>
      <w:b/>
      <w:bCs/>
    </w:rPr>
  </w:style>
  <w:style w:type="character" w:styleId="a6">
    <w:name w:val="Emphasis"/>
    <w:basedOn w:val="a0"/>
    <w:uiPriority w:val="20"/>
    <w:qFormat/>
    <w:rsid w:val="00FD08EE"/>
    <w:rPr>
      <w:i/>
      <w:iCs/>
    </w:rPr>
  </w:style>
  <w:style w:type="character" w:customStyle="1" w:styleId="10">
    <w:name w:val="Заголовок 1 Знак"/>
    <w:basedOn w:val="a0"/>
    <w:link w:val="1"/>
    <w:uiPriority w:val="9"/>
    <w:rsid w:val="00FD08E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C12E8C"/>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7A3131"/>
    <w:rPr>
      <w:rFonts w:asciiTheme="majorHAnsi" w:eastAsiaTheme="majorEastAsia" w:hAnsiTheme="majorHAnsi" w:cstheme="majorBidi"/>
      <w:color w:val="1F4D78" w:themeColor="accent1" w:themeShade="7F"/>
      <w:sz w:val="24"/>
      <w:szCs w:val="24"/>
    </w:rPr>
  </w:style>
  <w:style w:type="paragraph" w:styleId="a7">
    <w:name w:val="Body Text"/>
    <w:basedOn w:val="a"/>
    <w:link w:val="a8"/>
    <w:semiHidden/>
    <w:rsid w:val="00F00BCA"/>
    <w:pPr>
      <w:spacing w:after="0" w:line="480" w:lineRule="auto"/>
      <w:jc w:val="both"/>
    </w:pPr>
    <w:rPr>
      <w:rFonts w:ascii="Times New Roman" w:eastAsia="Times New Roman" w:hAnsi="Times New Roman" w:cs="Times New Roman"/>
      <w:sz w:val="24"/>
      <w:szCs w:val="20"/>
      <w:lang w:val="en-US" w:eastAsia="sv-SE"/>
    </w:rPr>
  </w:style>
  <w:style w:type="character" w:customStyle="1" w:styleId="a8">
    <w:name w:val="Основной текст Знак"/>
    <w:basedOn w:val="a0"/>
    <w:link w:val="a7"/>
    <w:semiHidden/>
    <w:rsid w:val="00F00BCA"/>
    <w:rPr>
      <w:rFonts w:ascii="Times New Roman" w:eastAsia="Times New Roman" w:hAnsi="Times New Roman" w:cs="Times New Roman"/>
      <w:sz w:val="24"/>
      <w:szCs w:val="20"/>
      <w:lang w:val="en-US"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53832">
      <w:bodyDiv w:val="1"/>
      <w:marLeft w:val="0"/>
      <w:marRight w:val="0"/>
      <w:marTop w:val="0"/>
      <w:marBottom w:val="0"/>
      <w:divBdr>
        <w:top w:val="none" w:sz="0" w:space="0" w:color="auto"/>
        <w:left w:val="none" w:sz="0" w:space="0" w:color="auto"/>
        <w:bottom w:val="none" w:sz="0" w:space="0" w:color="auto"/>
        <w:right w:val="none" w:sz="0" w:space="0" w:color="auto"/>
      </w:divBdr>
      <w:divsChild>
        <w:div w:id="1407260697">
          <w:marLeft w:val="0"/>
          <w:marRight w:val="0"/>
          <w:marTop w:val="0"/>
          <w:marBottom w:val="0"/>
          <w:divBdr>
            <w:top w:val="none" w:sz="0" w:space="0" w:color="auto"/>
            <w:left w:val="none" w:sz="0" w:space="0" w:color="auto"/>
            <w:bottom w:val="none" w:sz="0" w:space="0" w:color="auto"/>
            <w:right w:val="none" w:sz="0" w:space="0" w:color="auto"/>
          </w:divBdr>
        </w:div>
      </w:divsChild>
    </w:div>
    <w:div w:id="161092355">
      <w:bodyDiv w:val="1"/>
      <w:marLeft w:val="0"/>
      <w:marRight w:val="0"/>
      <w:marTop w:val="0"/>
      <w:marBottom w:val="0"/>
      <w:divBdr>
        <w:top w:val="none" w:sz="0" w:space="0" w:color="auto"/>
        <w:left w:val="none" w:sz="0" w:space="0" w:color="auto"/>
        <w:bottom w:val="none" w:sz="0" w:space="0" w:color="auto"/>
        <w:right w:val="none" w:sz="0" w:space="0" w:color="auto"/>
      </w:divBdr>
      <w:divsChild>
        <w:div w:id="1093237314">
          <w:marLeft w:val="0"/>
          <w:marRight w:val="0"/>
          <w:marTop w:val="0"/>
          <w:marBottom w:val="0"/>
          <w:divBdr>
            <w:top w:val="none" w:sz="0" w:space="0" w:color="auto"/>
            <w:left w:val="none" w:sz="0" w:space="0" w:color="auto"/>
            <w:bottom w:val="none" w:sz="0" w:space="0" w:color="auto"/>
            <w:right w:val="none" w:sz="0" w:space="0" w:color="auto"/>
          </w:divBdr>
        </w:div>
        <w:div w:id="1734157662">
          <w:marLeft w:val="0"/>
          <w:marRight w:val="0"/>
          <w:marTop w:val="0"/>
          <w:marBottom w:val="0"/>
          <w:divBdr>
            <w:top w:val="none" w:sz="0" w:space="0" w:color="auto"/>
            <w:left w:val="none" w:sz="0" w:space="0" w:color="auto"/>
            <w:bottom w:val="none" w:sz="0" w:space="0" w:color="auto"/>
            <w:right w:val="none" w:sz="0" w:space="0" w:color="auto"/>
          </w:divBdr>
        </w:div>
      </w:divsChild>
    </w:div>
    <w:div w:id="193931733">
      <w:bodyDiv w:val="1"/>
      <w:marLeft w:val="0"/>
      <w:marRight w:val="0"/>
      <w:marTop w:val="0"/>
      <w:marBottom w:val="0"/>
      <w:divBdr>
        <w:top w:val="none" w:sz="0" w:space="0" w:color="auto"/>
        <w:left w:val="none" w:sz="0" w:space="0" w:color="auto"/>
        <w:bottom w:val="none" w:sz="0" w:space="0" w:color="auto"/>
        <w:right w:val="none" w:sz="0" w:space="0" w:color="auto"/>
      </w:divBdr>
      <w:divsChild>
        <w:div w:id="130637721">
          <w:marLeft w:val="0"/>
          <w:marRight w:val="0"/>
          <w:marTop w:val="0"/>
          <w:marBottom w:val="0"/>
          <w:divBdr>
            <w:top w:val="none" w:sz="0" w:space="0" w:color="auto"/>
            <w:left w:val="none" w:sz="0" w:space="0" w:color="auto"/>
            <w:bottom w:val="none" w:sz="0" w:space="0" w:color="auto"/>
            <w:right w:val="none" w:sz="0" w:space="0" w:color="auto"/>
          </w:divBdr>
        </w:div>
      </w:divsChild>
    </w:div>
    <w:div w:id="201527362">
      <w:bodyDiv w:val="1"/>
      <w:marLeft w:val="0"/>
      <w:marRight w:val="0"/>
      <w:marTop w:val="0"/>
      <w:marBottom w:val="0"/>
      <w:divBdr>
        <w:top w:val="none" w:sz="0" w:space="0" w:color="auto"/>
        <w:left w:val="none" w:sz="0" w:space="0" w:color="auto"/>
        <w:bottom w:val="none" w:sz="0" w:space="0" w:color="auto"/>
        <w:right w:val="none" w:sz="0" w:space="0" w:color="auto"/>
      </w:divBdr>
    </w:div>
    <w:div w:id="251357310">
      <w:bodyDiv w:val="1"/>
      <w:marLeft w:val="0"/>
      <w:marRight w:val="0"/>
      <w:marTop w:val="0"/>
      <w:marBottom w:val="0"/>
      <w:divBdr>
        <w:top w:val="none" w:sz="0" w:space="0" w:color="auto"/>
        <w:left w:val="none" w:sz="0" w:space="0" w:color="auto"/>
        <w:bottom w:val="none" w:sz="0" w:space="0" w:color="auto"/>
        <w:right w:val="none" w:sz="0" w:space="0" w:color="auto"/>
      </w:divBdr>
      <w:divsChild>
        <w:div w:id="10494255">
          <w:marLeft w:val="0"/>
          <w:marRight w:val="0"/>
          <w:marTop w:val="0"/>
          <w:marBottom w:val="0"/>
          <w:divBdr>
            <w:top w:val="none" w:sz="0" w:space="0" w:color="auto"/>
            <w:left w:val="none" w:sz="0" w:space="0" w:color="auto"/>
            <w:bottom w:val="none" w:sz="0" w:space="0" w:color="auto"/>
            <w:right w:val="none" w:sz="0" w:space="0" w:color="auto"/>
          </w:divBdr>
        </w:div>
      </w:divsChild>
    </w:div>
    <w:div w:id="385377995">
      <w:bodyDiv w:val="1"/>
      <w:marLeft w:val="0"/>
      <w:marRight w:val="0"/>
      <w:marTop w:val="0"/>
      <w:marBottom w:val="0"/>
      <w:divBdr>
        <w:top w:val="none" w:sz="0" w:space="0" w:color="auto"/>
        <w:left w:val="none" w:sz="0" w:space="0" w:color="auto"/>
        <w:bottom w:val="none" w:sz="0" w:space="0" w:color="auto"/>
        <w:right w:val="none" w:sz="0" w:space="0" w:color="auto"/>
      </w:divBdr>
    </w:div>
    <w:div w:id="460727536">
      <w:bodyDiv w:val="1"/>
      <w:marLeft w:val="0"/>
      <w:marRight w:val="0"/>
      <w:marTop w:val="0"/>
      <w:marBottom w:val="0"/>
      <w:divBdr>
        <w:top w:val="none" w:sz="0" w:space="0" w:color="auto"/>
        <w:left w:val="none" w:sz="0" w:space="0" w:color="auto"/>
        <w:bottom w:val="none" w:sz="0" w:space="0" w:color="auto"/>
        <w:right w:val="none" w:sz="0" w:space="0" w:color="auto"/>
      </w:divBdr>
      <w:divsChild>
        <w:div w:id="1698121213">
          <w:marLeft w:val="0"/>
          <w:marRight w:val="0"/>
          <w:marTop w:val="0"/>
          <w:marBottom w:val="0"/>
          <w:divBdr>
            <w:top w:val="none" w:sz="0" w:space="0" w:color="auto"/>
            <w:left w:val="none" w:sz="0" w:space="0" w:color="auto"/>
            <w:bottom w:val="none" w:sz="0" w:space="0" w:color="auto"/>
            <w:right w:val="none" w:sz="0" w:space="0" w:color="auto"/>
          </w:divBdr>
        </w:div>
      </w:divsChild>
    </w:div>
    <w:div w:id="533154970">
      <w:bodyDiv w:val="1"/>
      <w:marLeft w:val="0"/>
      <w:marRight w:val="0"/>
      <w:marTop w:val="0"/>
      <w:marBottom w:val="0"/>
      <w:divBdr>
        <w:top w:val="none" w:sz="0" w:space="0" w:color="auto"/>
        <w:left w:val="none" w:sz="0" w:space="0" w:color="auto"/>
        <w:bottom w:val="none" w:sz="0" w:space="0" w:color="auto"/>
        <w:right w:val="none" w:sz="0" w:space="0" w:color="auto"/>
      </w:divBdr>
      <w:divsChild>
        <w:div w:id="886838580">
          <w:marLeft w:val="0"/>
          <w:marRight w:val="0"/>
          <w:marTop w:val="0"/>
          <w:marBottom w:val="0"/>
          <w:divBdr>
            <w:top w:val="none" w:sz="0" w:space="0" w:color="auto"/>
            <w:left w:val="none" w:sz="0" w:space="0" w:color="auto"/>
            <w:bottom w:val="none" w:sz="0" w:space="0" w:color="auto"/>
            <w:right w:val="none" w:sz="0" w:space="0" w:color="auto"/>
          </w:divBdr>
        </w:div>
        <w:div w:id="2129466607">
          <w:marLeft w:val="0"/>
          <w:marRight w:val="0"/>
          <w:marTop w:val="0"/>
          <w:marBottom w:val="0"/>
          <w:divBdr>
            <w:top w:val="none" w:sz="0" w:space="0" w:color="auto"/>
            <w:left w:val="none" w:sz="0" w:space="0" w:color="auto"/>
            <w:bottom w:val="none" w:sz="0" w:space="0" w:color="auto"/>
            <w:right w:val="none" w:sz="0" w:space="0" w:color="auto"/>
          </w:divBdr>
        </w:div>
      </w:divsChild>
    </w:div>
    <w:div w:id="645084544">
      <w:bodyDiv w:val="1"/>
      <w:marLeft w:val="0"/>
      <w:marRight w:val="0"/>
      <w:marTop w:val="0"/>
      <w:marBottom w:val="0"/>
      <w:divBdr>
        <w:top w:val="none" w:sz="0" w:space="0" w:color="auto"/>
        <w:left w:val="none" w:sz="0" w:space="0" w:color="auto"/>
        <w:bottom w:val="none" w:sz="0" w:space="0" w:color="auto"/>
        <w:right w:val="none" w:sz="0" w:space="0" w:color="auto"/>
      </w:divBdr>
    </w:div>
    <w:div w:id="665550539">
      <w:bodyDiv w:val="1"/>
      <w:marLeft w:val="0"/>
      <w:marRight w:val="0"/>
      <w:marTop w:val="0"/>
      <w:marBottom w:val="0"/>
      <w:divBdr>
        <w:top w:val="none" w:sz="0" w:space="0" w:color="auto"/>
        <w:left w:val="none" w:sz="0" w:space="0" w:color="auto"/>
        <w:bottom w:val="none" w:sz="0" w:space="0" w:color="auto"/>
        <w:right w:val="none" w:sz="0" w:space="0" w:color="auto"/>
      </w:divBdr>
      <w:divsChild>
        <w:div w:id="943926990">
          <w:marLeft w:val="0"/>
          <w:marRight w:val="0"/>
          <w:marTop w:val="0"/>
          <w:marBottom w:val="0"/>
          <w:divBdr>
            <w:top w:val="none" w:sz="0" w:space="0" w:color="auto"/>
            <w:left w:val="none" w:sz="0" w:space="0" w:color="auto"/>
            <w:bottom w:val="none" w:sz="0" w:space="0" w:color="auto"/>
            <w:right w:val="none" w:sz="0" w:space="0" w:color="auto"/>
          </w:divBdr>
        </w:div>
      </w:divsChild>
    </w:div>
    <w:div w:id="852383075">
      <w:bodyDiv w:val="1"/>
      <w:marLeft w:val="0"/>
      <w:marRight w:val="0"/>
      <w:marTop w:val="0"/>
      <w:marBottom w:val="0"/>
      <w:divBdr>
        <w:top w:val="none" w:sz="0" w:space="0" w:color="auto"/>
        <w:left w:val="none" w:sz="0" w:space="0" w:color="auto"/>
        <w:bottom w:val="none" w:sz="0" w:space="0" w:color="auto"/>
        <w:right w:val="none" w:sz="0" w:space="0" w:color="auto"/>
      </w:divBdr>
      <w:divsChild>
        <w:div w:id="709721872">
          <w:marLeft w:val="0"/>
          <w:marRight w:val="0"/>
          <w:marTop w:val="0"/>
          <w:marBottom w:val="0"/>
          <w:divBdr>
            <w:top w:val="none" w:sz="0" w:space="0" w:color="auto"/>
            <w:left w:val="none" w:sz="0" w:space="0" w:color="auto"/>
            <w:bottom w:val="none" w:sz="0" w:space="0" w:color="auto"/>
            <w:right w:val="none" w:sz="0" w:space="0" w:color="auto"/>
          </w:divBdr>
        </w:div>
      </w:divsChild>
    </w:div>
    <w:div w:id="977302715">
      <w:bodyDiv w:val="1"/>
      <w:marLeft w:val="0"/>
      <w:marRight w:val="0"/>
      <w:marTop w:val="0"/>
      <w:marBottom w:val="0"/>
      <w:divBdr>
        <w:top w:val="none" w:sz="0" w:space="0" w:color="auto"/>
        <w:left w:val="none" w:sz="0" w:space="0" w:color="auto"/>
        <w:bottom w:val="none" w:sz="0" w:space="0" w:color="auto"/>
        <w:right w:val="none" w:sz="0" w:space="0" w:color="auto"/>
      </w:divBdr>
      <w:divsChild>
        <w:div w:id="467556216">
          <w:marLeft w:val="0"/>
          <w:marRight w:val="0"/>
          <w:marTop w:val="0"/>
          <w:marBottom w:val="0"/>
          <w:divBdr>
            <w:top w:val="none" w:sz="0" w:space="0" w:color="auto"/>
            <w:left w:val="none" w:sz="0" w:space="0" w:color="auto"/>
            <w:bottom w:val="none" w:sz="0" w:space="0" w:color="auto"/>
            <w:right w:val="none" w:sz="0" w:space="0" w:color="auto"/>
          </w:divBdr>
        </w:div>
      </w:divsChild>
    </w:div>
    <w:div w:id="997609623">
      <w:bodyDiv w:val="1"/>
      <w:marLeft w:val="0"/>
      <w:marRight w:val="0"/>
      <w:marTop w:val="0"/>
      <w:marBottom w:val="0"/>
      <w:divBdr>
        <w:top w:val="none" w:sz="0" w:space="0" w:color="auto"/>
        <w:left w:val="none" w:sz="0" w:space="0" w:color="auto"/>
        <w:bottom w:val="none" w:sz="0" w:space="0" w:color="auto"/>
        <w:right w:val="none" w:sz="0" w:space="0" w:color="auto"/>
      </w:divBdr>
      <w:divsChild>
        <w:div w:id="1322737996">
          <w:marLeft w:val="0"/>
          <w:marRight w:val="0"/>
          <w:marTop w:val="0"/>
          <w:marBottom w:val="0"/>
          <w:divBdr>
            <w:top w:val="none" w:sz="0" w:space="0" w:color="auto"/>
            <w:left w:val="none" w:sz="0" w:space="0" w:color="auto"/>
            <w:bottom w:val="none" w:sz="0" w:space="0" w:color="auto"/>
            <w:right w:val="none" w:sz="0" w:space="0" w:color="auto"/>
          </w:divBdr>
        </w:div>
      </w:divsChild>
    </w:div>
    <w:div w:id="1069765669">
      <w:bodyDiv w:val="1"/>
      <w:marLeft w:val="0"/>
      <w:marRight w:val="0"/>
      <w:marTop w:val="0"/>
      <w:marBottom w:val="0"/>
      <w:divBdr>
        <w:top w:val="none" w:sz="0" w:space="0" w:color="auto"/>
        <w:left w:val="none" w:sz="0" w:space="0" w:color="auto"/>
        <w:bottom w:val="none" w:sz="0" w:space="0" w:color="auto"/>
        <w:right w:val="none" w:sz="0" w:space="0" w:color="auto"/>
      </w:divBdr>
      <w:divsChild>
        <w:div w:id="301034672">
          <w:marLeft w:val="0"/>
          <w:marRight w:val="0"/>
          <w:marTop w:val="0"/>
          <w:marBottom w:val="0"/>
          <w:divBdr>
            <w:top w:val="none" w:sz="0" w:space="0" w:color="auto"/>
            <w:left w:val="none" w:sz="0" w:space="0" w:color="auto"/>
            <w:bottom w:val="none" w:sz="0" w:space="0" w:color="auto"/>
            <w:right w:val="none" w:sz="0" w:space="0" w:color="auto"/>
          </w:divBdr>
        </w:div>
      </w:divsChild>
    </w:div>
    <w:div w:id="1233273264">
      <w:bodyDiv w:val="1"/>
      <w:marLeft w:val="0"/>
      <w:marRight w:val="0"/>
      <w:marTop w:val="0"/>
      <w:marBottom w:val="0"/>
      <w:divBdr>
        <w:top w:val="none" w:sz="0" w:space="0" w:color="auto"/>
        <w:left w:val="none" w:sz="0" w:space="0" w:color="auto"/>
        <w:bottom w:val="none" w:sz="0" w:space="0" w:color="auto"/>
        <w:right w:val="none" w:sz="0" w:space="0" w:color="auto"/>
      </w:divBdr>
    </w:div>
    <w:div w:id="1241212455">
      <w:bodyDiv w:val="1"/>
      <w:marLeft w:val="0"/>
      <w:marRight w:val="0"/>
      <w:marTop w:val="0"/>
      <w:marBottom w:val="0"/>
      <w:divBdr>
        <w:top w:val="none" w:sz="0" w:space="0" w:color="auto"/>
        <w:left w:val="none" w:sz="0" w:space="0" w:color="auto"/>
        <w:bottom w:val="none" w:sz="0" w:space="0" w:color="auto"/>
        <w:right w:val="none" w:sz="0" w:space="0" w:color="auto"/>
      </w:divBdr>
      <w:divsChild>
        <w:div w:id="1120152374">
          <w:marLeft w:val="0"/>
          <w:marRight w:val="0"/>
          <w:marTop w:val="0"/>
          <w:marBottom w:val="0"/>
          <w:divBdr>
            <w:top w:val="none" w:sz="0" w:space="0" w:color="auto"/>
            <w:left w:val="none" w:sz="0" w:space="0" w:color="auto"/>
            <w:bottom w:val="none" w:sz="0" w:space="0" w:color="auto"/>
            <w:right w:val="none" w:sz="0" w:space="0" w:color="auto"/>
          </w:divBdr>
        </w:div>
        <w:div w:id="1048993488">
          <w:marLeft w:val="0"/>
          <w:marRight w:val="0"/>
          <w:marTop w:val="0"/>
          <w:marBottom w:val="0"/>
          <w:divBdr>
            <w:top w:val="none" w:sz="0" w:space="0" w:color="auto"/>
            <w:left w:val="none" w:sz="0" w:space="0" w:color="auto"/>
            <w:bottom w:val="none" w:sz="0" w:space="0" w:color="auto"/>
            <w:right w:val="none" w:sz="0" w:space="0" w:color="auto"/>
          </w:divBdr>
        </w:div>
        <w:div w:id="72167723">
          <w:marLeft w:val="0"/>
          <w:marRight w:val="0"/>
          <w:marTop w:val="0"/>
          <w:marBottom w:val="0"/>
          <w:divBdr>
            <w:top w:val="none" w:sz="0" w:space="0" w:color="auto"/>
            <w:left w:val="none" w:sz="0" w:space="0" w:color="auto"/>
            <w:bottom w:val="none" w:sz="0" w:space="0" w:color="auto"/>
            <w:right w:val="none" w:sz="0" w:space="0" w:color="auto"/>
          </w:divBdr>
        </w:div>
      </w:divsChild>
    </w:div>
    <w:div w:id="1250239890">
      <w:bodyDiv w:val="1"/>
      <w:marLeft w:val="0"/>
      <w:marRight w:val="0"/>
      <w:marTop w:val="0"/>
      <w:marBottom w:val="0"/>
      <w:divBdr>
        <w:top w:val="none" w:sz="0" w:space="0" w:color="auto"/>
        <w:left w:val="none" w:sz="0" w:space="0" w:color="auto"/>
        <w:bottom w:val="none" w:sz="0" w:space="0" w:color="auto"/>
        <w:right w:val="none" w:sz="0" w:space="0" w:color="auto"/>
      </w:divBdr>
    </w:div>
    <w:div w:id="1372537176">
      <w:bodyDiv w:val="1"/>
      <w:marLeft w:val="0"/>
      <w:marRight w:val="0"/>
      <w:marTop w:val="0"/>
      <w:marBottom w:val="0"/>
      <w:divBdr>
        <w:top w:val="none" w:sz="0" w:space="0" w:color="auto"/>
        <w:left w:val="none" w:sz="0" w:space="0" w:color="auto"/>
        <w:bottom w:val="none" w:sz="0" w:space="0" w:color="auto"/>
        <w:right w:val="none" w:sz="0" w:space="0" w:color="auto"/>
      </w:divBdr>
    </w:div>
    <w:div w:id="1413701433">
      <w:bodyDiv w:val="1"/>
      <w:marLeft w:val="0"/>
      <w:marRight w:val="0"/>
      <w:marTop w:val="0"/>
      <w:marBottom w:val="0"/>
      <w:divBdr>
        <w:top w:val="none" w:sz="0" w:space="0" w:color="auto"/>
        <w:left w:val="none" w:sz="0" w:space="0" w:color="auto"/>
        <w:bottom w:val="none" w:sz="0" w:space="0" w:color="auto"/>
        <w:right w:val="none" w:sz="0" w:space="0" w:color="auto"/>
      </w:divBdr>
    </w:div>
    <w:div w:id="1458795155">
      <w:bodyDiv w:val="1"/>
      <w:marLeft w:val="0"/>
      <w:marRight w:val="0"/>
      <w:marTop w:val="0"/>
      <w:marBottom w:val="0"/>
      <w:divBdr>
        <w:top w:val="none" w:sz="0" w:space="0" w:color="auto"/>
        <w:left w:val="none" w:sz="0" w:space="0" w:color="auto"/>
        <w:bottom w:val="none" w:sz="0" w:space="0" w:color="auto"/>
        <w:right w:val="none" w:sz="0" w:space="0" w:color="auto"/>
      </w:divBdr>
    </w:div>
    <w:div w:id="1528133075">
      <w:bodyDiv w:val="1"/>
      <w:marLeft w:val="0"/>
      <w:marRight w:val="0"/>
      <w:marTop w:val="0"/>
      <w:marBottom w:val="0"/>
      <w:divBdr>
        <w:top w:val="none" w:sz="0" w:space="0" w:color="auto"/>
        <w:left w:val="none" w:sz="0" w:space="0" w:color="auto"/>
        <w:bottom w:val="none" w:sz="0" w:space="0" w:color="auto"/>
        <w:right w:val="none" w:sz="0" w:space="0" w:color="auto"/>
      </w:divBdr>
    </w:div>
    <w:div w:id="1552307347">
      <w:bodyDiv w:val="1"/>
      <w:marLeft w:val="0"/>
      <w:marRight w:val="0"/>
      <w:marTop w:val="0"/>
      <w:marBottom w:val="0"/>
      <w:divBdr>
        <w:top w:val="none" w:sz="0" w:space="0" w:color="auto"/>
        <w:left w:val="none" w:sz="0" w:space="0" w:color="auto"/>
        <w:bottom w:val="none" w:sz="0" w:space="0" w:color="auto"/>
        <w:right w:val="none" w:sz="0" w:space="0" w:color="auto"/>
      </w:divBdr>
    </w:div>
    <w:div w:id="1587690488">
      <w:bodyDiv w:val="1"/>
      <w:marLeft w:val="0"/>
      <w:marRight w:val="0"/>
      <w:marTop w:val="0"/>
      <w:marBottom w:val="0"/>
      <w:divBdr>
        <w:top w:val="none" w:sz="0" w:space="0" w:color="auto"/>
        <w:left w:val="none" w:sz="0" w:space="0" w:color="auto"/>
        <w:bottom w:val="none" w:sz="0" w:space="0" w:color="auto"/>
        <w:right w:val="none" w:sz="0" w:space="0" w:color="auto"/>
      </w:divBdr>
      <w:divsChild>
        <w:div w:id="2022732427">
          <w:marLeft w:val="0"/>
          <w:marRight w:val="0"/>
          <w:marTop w:val="0"/>
          <w:marBottom w:val="0"/>
          <w:divBdr>
            <w:top w:val="none" w:sz="0" w:space="0" w:color="auto"/>
            <w:left w:val="none" w:sz="0" w:space="0" w:color="auto"/>
            <w:bottom w:val="none" w:sz="0" w:space="0" w:color="auto"/>
            <w:right w:val="none" w:sz="0" w:space="0" w:color="auto"/>
          </w:divBdr>
        </w:div>
      </w:divsChild>
    </w:div>
    <w:div w:id="1760826202">
      <w:bodyDiv w:val="1"/>
      <w:marLeft w:val="0"/>
      <w:marRight w:val="0"/>
      <w:marTop w:val="0"/>
      <w:marBottom w:val="0"/>
      <w:divBdr>
        <w:top w:val="none" w:sz="0" w:space="0" w:color="auto"/>
        <w:left w:val="none" w:sz="0" w:space="0" w:color="auto"/>
        <w:bottom w:val="none" w:sz="0" w:space="0" w:color="auto"/>
        <w:right w:val="none" w:sz="0" w:space="0" w:color="auto"/>
      </w:divBdr>
    </w:div>
    <w:div w:id="1778061878">
      <w:bodyDiv w:val="1"/>
      <w:marLeft w:val="0"/>
      <w:marRight w:val="0"/>
      <w:marTop w:val="0"/>
      <w:marBottom w:val="0"/>
      <w:divBdr>
        <w:top w:val="none" w:sz="0" w:space="0" w:color="auto"/>
        <w:left w:val="none" w:sz="0" w:space="0" w:color="auto"/>
        <w:bottom w:val="none" w:sz="0" w:space="0" w:color="auto"/>
        <w:right w:val="none" w:sz="0" w:space="0" w:color="auto"/>
      </w:divBdr>
      <w:divsChild>
        <w:div w:id="739788676">
          <w:marLeft w:val="0"/>
          <w:marRight w:val="0"/>
          <w:marTop w:val="0"/>
          <w:marBottom w:val="0"/>
          <w:divBdr>
            <w:top w:val="none" w:sz="0" w:space="0" w:color="auto"/>
            <w:left w:val="none" w:sz="0" w:space="0" w:color="auto"/>
            <w:bottom w:val="none" w:sz="0" w:space="0" w:color="auto"/>
            <w:right w:val="none" w:sz="0" w:space="0" w:color="auto"/>
          </w:divBdr>
        </w:div>
        <w:div w:id="821510104">
          <w:marLeft w:val="0"/>
          <w:marRight w:val="0"/>
          <w:marTop w:val="0"/>
          <w:marBottom w:val="0"/>
          <w:divBdr>
            <w:top w:val="none" w:sz="0" w:space="0" w:color="auto"/>
            <w:left w:val="none" w:sz="0" w:space="0" w:color="auto"/>
            <w:bottom w:val="none" w:sz="0" w:space="0" w:color="auto"/>
            <w:right w:val="none" w:sz="0" w:space="0" w:color="auto"/>
          </w:divBdr>
        </w:div>
      </w:divsChild>
    </w:div>
    <w:div w:id="1966814378">
      <w:bodyDiv w:val="1"/>
      <w:marLeft w:val="0"/>
      <w:marRight w:val="0"/>
      <w:marTop w:val="0"/>
      <w:marBottom w:val="0"/>
      <w:divBdr>
        <w:top w:val="none" w:sz="0" w:space="0" w:color="auto"/>
        <w:left w:val="none" w:sz="0" w:space="0" w:color="auto"/>
        <w:bottom w:val="none" w:sz="0" w:space="0" w:color="auto"/>
        <w:right w:val="none" w:sz="0" w:space="0" w:color="auto"/>
      </w:divBdr>
      <w:divsChild>
        <w:div w:id="1454666176">
          <w:marLeft w:val="0"/>
          <w:marRight w:val="0"/>
          <w:marTop w:val="0"/>
          <w:marBottom w:val="0"/>
          <w:divBdr>
            <w:top w:val="none" w:sz="0" w:space="0" w:color="auto"/>
            <w:left w:val="none" w:sz="0" w:space="0" w:color="auto"/>
            <w:bottom w:val="none" w:sz="0" w:space="0" w:color="auto"/>
            <w:right w:val="none" w:sz="0" w:space="0" w:color="auto"/>
          </w:divBdr>
        </w:div>
        <w:div w:id="1968466201">
          <w:marLeft w:val="0"/>
          <w:marRight w:val="0"/>
          <w:marTop w:val="0"/>
          <w:marBottom w:val="0"/>
          <w:divBdr>
            <w:top w:val="none" w:sz="0" w:space="0" w:color="auto"/>
            <w:left w:val="none" w:sz="0" w:space="0" w:color="auto"/>
            <w:bottom w:val="none" w:sz="0" w:space="0" w:color="auto"/>
            <w:right w:val="none" w:sz="0" w:space="0" w:color="auto"/>
          </w:divBdr>
        </w:div>
        <w:div w:id="495150672">
          <w:marLeft w:val="0"/>
          <w:marRight w:val="0"/>
          <w:marTop w:val="0"/>
          <w:marBottom w:val="0"/>
          <w:divBdr>
            <w:top w:val="none" w:sz="0" w:space="0" w:color="auto"/>
            <w:left w:val="none" w:sz="0" w:space="0" w:color="auto"/>
            <w:bottom w:val="none" w:sz="0" w:space="0" w:color="auto"/>
            <w:right w:val="none" w:sz="0" w:space="0" w:color="auto"/>
          </w:divBdr>
        </w:div>
        <w:div w:id="689185039">
          <w:marLeft w:val="0"/>
          <w:marRight w:val="0"/>
          <w:marTop w:val="0"/>
          <w:marBottom w:val="0"/>
          <w:divBdr>
            <w:top w:val="none" w:sz="0" w:space="0" w:color="auto"/>
            <w:left w:val="none" w:sz="0" w:space="0" w:color="auto"/>
            <w:bottom w:val="none" w:sz="0" w:space="0" w:color="auto"/>
            <w:right w:val="none" w:sz="0" w:space="0" w:color="auto"/>
          </w:divBdr>
        </w:div>
        <w:div w:id="1348483700">
          <w:marLeft w:val="0"/>
          <w:marRight w:val="0"/>
          <w:marTop w:val="0"/>
          <w:marBottom w:val="0"/>
          <w:divBdr>
            <w:top w:val="none" w:sz="0" w:space="0" w:color="auto"/>
            <w:left w:val="none" w:sz="0" w:space="0" w:color="auto"/>
            <w:bottom w:val="none" w:sz="0" w:space="0" w:color="auto"/>
            <w:right w:val="none" w:sz="0" w:space="0" w:color="auto"/>
          </w:divBdr>
        </w:div>
        <w:div w:id="464006253">
          <w:marLeft w:val="0"/>
          <w:marRight w:val="0"/>
          <w:marTop w:val="0"/>
          <w:marBottom w:val="0"/>
          <w:divBdr>
            <w:top w:val="none" w:sz="0" w:space="0" w:color="auto"/>
            <w:left w:val="none" w:sz="0" w:space="0" w:color="auto"/>
            <w:bottom w:val="none" w:sz="0" w:space="0" w:color="auto"/>
            <w:right w:val="none" w:sz="0" w:space="0" w:color="auto"/>
          </w:divBdr>
        </w:div>
        <w:div w:id="1984652524">
          <w:marLeft w:val="0"/>
          <w:marRight w:val="0"/>
          <w:marTop w:val="0"/>
          <w:marBottom w:val="0"/>
          <w:divBdr>
            <w:top w:val="none" w:sz="0" w:space="0" w:color="auto"/>
            <w:left w:val="none" w:sz="0" w:space="0" w:color="auto"/>
            <w:bottom w:val="none" w:sz="0" w:space="0" w:color="auto"/>
            <w:right w:val="none" w:sz="0" w:space="0" w:color="auto"/>
          </w:divBdr>
        </w:div>
        <w:div w:id="1309281180">
          <w:marLeft w:val="0"/>
          <w:marRight w:val="0"/>
          <w:marTop w:val="0"/>
          <w:marBottom w:val="0"/>
          <w:divBdr>
            <w:top w:val="none" w:sz="0" w:space="0" w:color="auto"/>
            <w:left w:val="none" w:sz="0" w:space="0" w:color="auto"/>
            <w:bottom w:val="none" w:sz="0" w:space="0" w:color="auto"/>
            <w:right w:val="none" w:sz="0" w:space="0" w:color="auto"/>
          </w:divBdr>
        </w:div>
      </w:divsChild>
    </w:div>
    <w:div w:id="2007510139">
      <w:bodyDiv w:val="1"/>
      <w:marLeft w:val="0"/>
      <w:marRight w:val="0"/>
      <w:marTop w:val="0"/>
      <w:marBottom w:val="0"/>
      <w:divBdr>
        <w:top w:val="none" w:sz="0" w:space="0" w:color="auto"/>
        <w:left w:val="none" w:sz="0" w:space="0" w:color="auto"/>
        <w:bottom w:val="none" w:sz="0" w:space="0" w:color="auto"/>
        <w:right w:val="none" w:sz="0" w:space="0" w:color="auto"/>
      </w:divBdr>
      <w:divsChild>
        <w:div w:id="1325544434">
          <w:marLeft w:val="0"/>
          <w:marRight w:val="0"/>
          <w:marTop w:val="0"/>
          <w:marBottom w:val="0"/>
          <w:divBdr>
            <w:top w:val="none" w:sz="0" w:space="0" w:color="auto"/>
            <w:left w:val="none" w:sz="0" w:space="0" w:color="auto"/>
            <w:bottom w:val="none" w:sz="0" w:space="0" w:color="auto"/>
            <w:right w:val="none" w:sz="0" w:space="0" w:color="auto"/>
          </w:divBdr>
        </w:div>
        <w:div w:id="1878741303">
          <w:marLeft w:val="0"/>
          <w:marRight w:val="0"/>
          <w:marTop w:val="0"/>
          <w:marBottom w:val="0"/>
          <w:divBdr>
            <w:top w:val="none" w:sz="0" w:space="0" w:color="auto"/>
            <w:left w:val="none" w:sz="0" w:space="0" w:color="auto"/>
            <w:bottom w:val="none" w:sz="0" w:space="0" w:color="auto"/>
            <w:right w:val="none" w:sz="0" w:space="0" w:color="auto"/>
          </w:divBdr>
        </w:div>
        <w:div w:id="1102452029">
          <w:marLeft w:val="0"/>
          <w:marRight w:val="0"/>
          <w:marTop w:val="0"/>
          <w:marBottom w:val="0"/>
          <w:divBdr>
            <w:top w:val="none" w:sz="0" w:space="0" w:color="auto"/>
            <w:left w:val="none" w:sz="0" w:space="0" w:color="auto"/>
            <w:bottom w:val="none" w:sz="0" w:space="0" w:color="auto"/>
            <w:right w:val="none" w:sz="0" w:space="0" w:color="auto"/>
          </w:divBdr>
        </w:div>
        <w:div w:id="1630698301">
          <w:marLeft w:val="0"/>
          <w:marRight w:val="0"/>
          <w:marTop w:val="0"/>
          <w:marBottom w:val="0"/>
          <w:divBdr>
            <w:top w:val="none" w:sz="0" w:space="0" w:color="auto"/>
            <w:left w:val="none" w:sz="0" w:space="0" w:color="auto"/>
            <w:bottom w:val="none" w:sz="0" w:space="0" w:color="auto"/>
            <w:right w:val="none" w:sz="0" w:space="0" w:color="auto"/>
          </w:divBdr>
        </w:div>
      </w:divsChild>
    </w:div>
    <w:div w:id="2101640655">
      <w:bodyDiv w:val="1"/>
      <w:marLeft w:val="0"/>
      <w:marRight w:val="0"/>
      <w:marTop w:val="0"/>
      <w:marBottom w:val="0"/>
      <w:divBdr>
        <w:top w:val="none" w:sz="0" w:space="0" w:color="auto"/>
        <w:left w:val="none" w:sz="0" w:space="0" w:color="auto"/>
        <w:bottom w:val="none" w:sz="0" w:space="0" w:color="auto"/>
        <w:right w:val="none" w:sz="0" w:space="0" w:color="auto"/>
      </w:divBdr>
      <w:divsChild>
        <w:div w:id="1372918218">
          <w:marLeft w:val="0"/>
          <w:marRight w:val="0"/>
          <w:marTop w:val="0"/>
          <w:marBottom w:val="0"/>
          <w:divBdr>
            <w:top w:val="none" w:sz="0" w:space="0" w:color="auto"/>
            <w:left w:val="none" w:sz="0" w:space="0" w:color="auto"/>
            <w:bottom w:val="none" w:sz="0" w:space="0" w:color="auto"/>
            <w:right w:val="none" w:sz="0" w:space="0" w:color="auto"/>
          </w:divBdr>
        </w:div>
      </w:divsChild>
    </w:div>
    <w:div w:id="2141221121">
      <w:bodyDiv w:val="1"/>
      <w:marLeft w:val="0"/>
      <w:marRight w:val="0"/>
      <w:marTop w:val="0"/>
      <w:marBottom w:val="0"/>
      <w:divBdr>
        <w:top w:val="none" w:sz="0" w:space="0" w:color="auto"/>
        <w:left w:val="none" w:sz="0" w:space="0" w:color="auto"/>
        <w:bottom w:val="none" w:sz="0" w:space="0" w:color="auto"/>
        <w:right w:val="none" w:sz="0" w:space="0" w:color="auto"/>
      </w:divBdr>
      <w:divsChild>
        <w:div w:id="1014185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1283</TotalTime>
  <Pages>1</Pages>
  <Words>281</Words>
  <Characters>1503</Characters>
  <Application>Microsoft Office Word</Application>
  <DocSecurity>0</DocSecurity>
  <Lines>30</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acer-pc</dc:creator>
  <cp:keywords/>
  <dc:description/>
  <cp:lastModifiedBy>Пользователь</cp:lastModifiedBy>
  <cp:revision>56</cp:revision>
  <dcterms:created xsi:type="dcterms:W3CDTF">2015-03-28T12:53:00Z</dcterms:created>
  <dcterms:modified xsi:type="dcterms:W3CDTF">2017-07-14T18:15:00Z</dcterms:modified>
</cp:coreProperties>
</file>